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orpo"/>
      </w:pPr>
      <w:r>
        <w:t xml:space="preserve"/>
      </w:r>
    </w:p>
    <w:p>
      <w:pPr>
        <w:pStyle w:val="plain"/>
        <w:spacing w:after="80" w:line="320"/>
        <w:jc w:val="left"/>
      </w:pPr>
      <w:r>
        <w:rPr>
          <w:color w:val="3D0856"/>
          <w:sz w:val="28"/>
          <w:szCs w:val="28"/>
        </w:rPr>
        <w:t xml:space="preserve">PARA ALÉM DO DESENHO LIVRE: CONTRIBUIÇÕES DO ENSINO DE ARTE PARA O PENSAMENTO CRÍTICO À LUZ DA BNCC</w:t>
      </w:r>
    </w:p>
    <w:p>
      <w:pPr>
        <w:pStyle w:val="plain"/>
        <w:spacing w:after="80" w:line="300"/>
      </w:pPr>
      <w:r>
        <w:rPr>
          <w:color w:val="595959"/>
          <w:sz w:val="26"/>
          <w:szCs w:val="26"/>
        </w:rPr>
        <w:t xml:space="preserve">Beyond free drawing: contributions of Art education to critical thinking in light of Brazil’s National Common Curricular Base (BNCC)</w:t>
      </w:r>
    </w:p>
    <w:p>
      <w:pPr>
        <w:pStyle w:val="plain"/>
        <w:spacing w:after="300" w:line="300"/>
      </w:pPr>
      <w:r>
        <w:rPr>
          <w:color w:val="595959"/>
          <w:sz w:val="26"/>
          <w:szCs w:val="26"/>
        </w:rPr>
        <w:t xml:space="preserve">Más allá del dibujo libre: contribuciones de la enseñanza del Arte al pensamiento crítico a la luz de la Base Nacional Común Curricular (BNCC)</w:t>
      </w:r>
    </w:p>
    <w:p>
      <w:pPr>
        <w:pStyle w:val="plain"/>
        <w:spacing w:after="360" w:line="300"/>
        <w:jc w:val="right"/>
      </w:pPr>
      <w:r>
        <w:t xml:space="preserve">Alessandra Raquel Lopes Rodrigues Borges</w:t>
      </w:r>
      <w:r>
        <w:rPr>
          <w:vertAlign w:val="superscript"/>
        </w:rPr>
        <w:t xml:space="preserve">1</w:t>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2835"/>
        <w:gridCol w:w="6236"/>
      </w:tblGrid>
      <w:tr>
        <w:tc>
          <w:tcPr>
            <w:tcW w:type="dxa" w:w="2835"/>
            <w:tcBorders>
              <w:top w:val="none" w:color="FFFFFF" w:sz="0"/>
              <w:left w:val="single" w:color="FFBC00" w:sz="18"/>
              <w:bottom w:val="none" w:color="FFFFFF" w:sz="0"/>
              <w:right w:val="none" w:color="FFFFFF" w:sz="0"/>
            </w:tcBorders>
            <w:shd w:fill="F4F0F7" w:color="auto" w:val="clear"/>
            <w:tcMar>
              <w:top w:type="dxa" w:w="200"/>
              <w:left w:type="dxa" w:w="170"/>
              <w:bottom w:type="dxa" w:w="200"/>
              <w:right w:type="dxa" w:w="170"/>
            </w:tcMar>
            <w:vAlign w:val="top"/>
          </w:tcPr>
          <w:p>
            <w:pPr>
              <w:pStyle w:val="plain"/>
              <w:spacing w:after="120" w:line="240"/>
              <w:jc w:val="both"/>
            </w:pPr>
            <w:r>
              <w:rPr>
                <w:sz w:val="20"/>
                <w:szCs w:val="20"/>
                <w:vertAlign w:val="superscript"/>
              </w:rPr>
              <w:t xml:space="preserve">¹ </w:t>
            </w:r>
            <w:r>
              <w:rPr>
                <w:sz w:val="20"/>
                <w:szCs w:val="20"/>
              </w:rPr>
              <w:t xml:space="preserve">Mestre em Psicologia (Psicologia Social) pela Universidade Gama Filho (UGF). Secretaria de Estado de Educação de Minas Gerais (SEE-MG), Itaúna, Minas Gerais, Brasil.</w:t>
            </w:r>
          </w:p>
          <w:p>
            <w:pPr>
              <w:pStyle w:val="plain"/>
              <w:spacing w:after="60" w:line="240"/>
            </w:pPr>
            <w:r>
              <w:rPr>
                <w:b/>
                <w:bCs/>
                <w:color w:val="3D0856"/>
                <w:sz w:val="20"/>
                <w:szCs w:val="20"/>
              </w:rPr>
              <w:t xml:space="preserve">Currículo Lattes: </w:t>
            </w:r>
            <w:r>
              <w:rPr>
                <w:sz w:val="20"/>
                <w:szCs w:val="20"/>
              </w:rPr>
              <w:t xml:space="preserve">http://lattes.cnpq.br/2516568738645172</w:t>
            </w:r>
          </w:p>
          <w:p>
            <w:pPr>
              <w:pStyle w:val="plain"/>
              <w:spacing w:after="60" w:line="240"/>
            </w:pPr>
            <w:r>
              <w:rPr>
                <w:b/>
                <w:bCs/>
                <w:color w:val="3D0856"/>
                <w:sz w:val="20"/>
                <w:szCs w:val="20"/>
              </w:rPr>
              <w:t xml:space="preserve">Submetido em: </w:t>
            </w:r>
            <w:r>
              <w:rPr>
                <w:sz w:val="20"/>
                <w:szCs w:val="20"/>
              </w:rPr>
              <w:t xml:space="preserve">13.08.2026</w:t>
            </w:r>
          </w:p>
          <w:p>
            <w:pPr>
              <w:pStyle w:val="plain"/>
              <w:spacing w:after="60" w:line="240"/>
            </w:pPr>
            <w:r>
              <w:rPr>
                <w:b/>
                <w:bCs/>
                <w:color w:val="3D0856"/>
                <w:sz w:val="20"/>
                <w:szCs w:val="20"/>
              </w:rPr>
              <w:t xml:space="preserve">Aceito em: </w:t>
            </w:r>
            <w:r>
              <w:rPr>
                <w:sz w:val="20"/>
                <w:szCs w:val="20"/>
              </w:rPr>
              <w:t xml:space="preserve">17.08.2026</w:t>
            </w:r>
          </w:p>
          <w:p>
            <w:pPr>
              <w:pStyle w:val="plain"/>
              <w:spacing w:line="240"/>
            </w:pPr>
            <w:r>
              <w:rPr>
                <w:b/>
                <w:bCs/>
                <w:color w:val="3D0856"/>
                <w:sz w:val="20"/>
                <w:szCs w:val="20"/>
              </w:rPr>
              <w:t xml:space="preserve">Publicado em: </w:t>
            </w:r>
            <w:r>
              <w:rPr>
                <w:sz w:val="20"/>
                <w:szCs w:val="20"/>
              </w:rPr>
              <w:t xml:space="preserve">08.10.2026</w:t>
            </w:r>
          </w:p>
        </w:tc>
        <w:tc>
          <w:tcPr>
            <w:tcW w:type="dxa" w:w="6236"/>
            <w:tcMar>
              <w:top w:type="dxa" w:w="200"/>
              <w:left w:type="dxa" w:w="280"/>
              <w:bottom w:type="dxa" w:w="80"/>
              <w:right w:type="dxa" w:w="0"/>
            </w:tcMar>
            <w:vAlign w:val="top"/>
          </w:tcPr>
          <w:p>
            <w:pPr>
              <w:pStyle w:val="plain"/>
              <w:spacing w:after="240" w:line="240"/>
              <w:jc w:val="both"/>
            </w:pPr>
            <w:r>
              <w:rPr>
                <w:b/>
                <w:bCs/>
                <w:color w:val="3D0856"/>
              </w:rPr>
              <w:t xml:space="preserve">RESUMO: </w:t>
            </w:r>
            <w:r>
              <w:t xml:space="preserve">O ensino de Arte na escola pública brasileira ainda é frequentemente reduzido a atividades de expressão espontânea, como o chamado “desenho livre”, desprovidas de intencionalidade pedagógica e de articulação com o conhecimento artístico historicamente produzido. Essa redução contrasta com a Base Nacional Comum Curricular (BNCC), que vincula o componente Arte a seis dimensões do conhecimento (criação, crítica, estesia, expressão, fruição e reflexão) e inscreve a análise crítica entre as competências gerais da educação básica. Este artigo tem como objetivo analisar as contribuições do ensino de Arte para o desenvolvimento do pensamento crítico de estudantes da escola pública, à luz da BNCC e em diálogo com a Psicologia, em especial com a psicologia histórico-cultural de Vigotski e com os estudos psicológicos sobre o pensamento crítico. Trata-se de pesquisa qualitativa, de natureza bibliográfica e documental, cujo material foi tratado por meio de análise de conteúdo temática. Os resultados indicam que as dimensões do conhecimento em Arte mobilizam processos psicológicos diretamente implicados no pensamento crítico, como a percepção analítica, a interpretação, a argumentação, a imaginação e a autorregulação, desde que a prática pedagógica seja mediada, sistemática e orientada por objetivos explícitos. Evidenciam, ainda, que a persistência do desenho livre como prática dominante se associa a condições estruturais da rede pública, como a insuficiência de docentes com formação específica e a reduzida carga horária do componente. Conclui-se que a efetividade das prescrições da BNCC depende de políticas de formação docente e de condições de oferta que permitam à Arte cumprir sua função formativa, superando o espontaneísmo sem retornar ao tecnicismo.</w:t>
            </w:r>
          </w:p>
          <w:p>
            <w:pPr>
              <w:pStyle w:val="plain"/>
              <w:spacing w:line="240"/>
              <w:jc w:val="both"/>
            </w:pPr>
            <w:r>
              <w:rPr>
                <w:b/>
                <w:bCs/>
                <w:color w:val="3D0856"/>
              </w:rPr>
              <w:t xml:space="preserve">Palavras-chave: </w:t>
            </w:r>
            <w:r>
              <w:t xml:space="preserve">Arte-educação. Psicologia histórico-cultural. Educação estética. Escola pública. Currículo. Formação docente.</w:t>
            </w:r>
          </w:p>
        </w:tc>
      </w:tr>
    </w:tbl>
    <w:p>
      <w:pPr>
        <w:pStyle w:val="corpo"/>
      </w:pPr>
      <w:r>
        <w:t xml:space="preserve"/>
      </w:r>
    </w:p>
    <w:p>
      <w:pPr>
        <w:pStyle w:val="corposemrecuo"/>
        <w:spacing w:after="240" w:line="240"/>
      </w:pPr>
      <w:r>
        <w:rPr>
          <w:b/>
          <w:bCs/>
          <w:color w:val="3D0856"/>
        </w:rPr>
        <w:t xml:space="preserve">ABSTRACT: </w:t>
      </w:r>
      <w:r>
        <w:t xml:space="preserve">Art education in Brazilian public schools is still frequently reduced to spontaneous expression activities, such as so-called “free drawing”, lacking pedagogical intentionality and disconnected from historically produced artistic knowledge. This reduction contrasts with the National Common Curricular Base (BNCC), which links the Art curriculum component to six dimensions of knowledge (creation, critique, aesthesis, expression, enjoyment and reflection) and includes critical analysis among the general competences of basic education. This article aims to analyze the contributions of Art education to the development of critical thinking among public school students, in light of the BNCC and in dialogue with Psychology, particularly Vygotsky’s cultural-historical psychology and psychological studies on critical thinking. It is a qualitative study, based on bibliographic and documentary research, whose material was examined through thematic content analysis. The results indicate that the dimensions of knowledge in Art mobilize psychological processes directly involved in critical thinking, such as analytical perception, interpretation, argumentation, imagination and self-regulation, provided that teaching practice is mediated, systematic and guided by explicit objectives. They also show that the persistence of free drawing as the dominant practice is associated with structural conditions of the public school system, such as the shortage of teachers with specific training and the limited instructional time allotted to the component. It is concluded that the effectiveness of the BNCC prescriptions depends on teacher education policies and on provision conditions that enable Art to fulfill its formative function, overcoming spontaneism without returning to technicism.</w:t>
      </w:r>
    </w:p>
    <w:p>
      <w:pPr>
        <w:pStyle w:val="corposemrecuo"/>
        <w:spacing w:after="240" w:line="240"/>
      </w:pPr>
      <w:r>
        <w:rPr>
          <w:b/>
          <w:bCs/>
          <w:color w:val="3D0856"/>
        </w:rPr>
        <w:t xml:space="preserve">Keywords: </w:t>
      </w:r>
      <w:r>
        <w:t xml:space="preserve">Art education. Cultural-historical psychology. Aesthetic education. Public school. Curriculum. Teacher education.</w:t>
      </w:r>
    </w:p>
    <w:p>
      <w:pPr>
        <w:pStyle w:val="corposemrecuo"/>
        <w:spacing w:after="240" w:line="240"/>
      </w:pPr>
      <w:r>
        <w:rPr>
          <w:b/>
          <w:bCs/>
          <w:color w:val="3D0856"/>
        </w:rPr>
        <w:t xml:space="preserve">RESUMEN: </w:t>
      </w:r>
      <w:r>
        <w:t xml:space="preserve">La enseñanza del Arte en la escuela pública brasileña todavía se reduce con frecuencia a actividades de expresión espontánea, como el llamado “dibujo libre”, carentes de intencionalidad pedagógica y desvinculadas del conocimiento artístico históricamente producido. Esta reducción contrasta con la Base Nacional Común Curricular (BNCC), que vincula el componente Arte a seis dimensiones del conocimiento (creación, crítica, estesia, expresión, fruición y reflexión) e incluye el análisis crítico entre las competencias generales de la educación básica. Este artículo tiene como objetivo analizar las contribuciones de la enseñanza del Arte al desarrollo del pensamiento crítico de estudiantes de la escuela pública, a la luz de la BNCC y en diálogo con la Psicología, en especial con la psicología histórico-cultural de Vigotski y con los estudios psicológicos sobre el pensamiento crítico. Se trata de una investigación cualitativa, de carácter bibliográfico y documental, cuyo material fue examinado mediante análisis de contenido temático. Los resultados indican que las dimensiones del conocimiento en Arte movilizan procesos psicológicos directamente implicados en el pensamiento crítico, como la percepción analítica, la interpretación, la argumentación, la imaginación y la autorregulación, siempre que la práctica pedagógica sea mediada, sistemática y orientada por objetivos explícitos. Evidencian, además, que la persistencia del dibujo libre como práctica dominante se asocia a condiciones estructurales de la red pública, como la insuficiencia de docentes con formación específica y la reducida carga horaria del componente. Se concluye que la efectividad de las prescripciones de la BNCC depende de políticas de formación docente y de condiciones de oferta que permitan al Arte cumplir su función formativa, superando el espontaneísmo sin retornar al tecnicismo.</w:t>
      </w:r>
    </w:p>
    <w:p>
      <w:pPr>
        <w:pStyle w:val="corposemrecuo"/>
        <w:spacing w:after="240" w:line="240"/>
      </w:pPr>
      <w:r>
        <w:rPr>
          <w:b/>
          <w:bCs/>
          <w:color w:val="3D0856"/>
        </w:rPr>
        <w:t xml:space="preserve">Palabras clave: </w:t>
      </w:r>
      <w:r>
        <w:t xml:space="preserve">Educación artística. Psicología histórico-cultural. Educación estética. Escuela pública. Currículo. Formación docente.</w:t>
      </w:r>
    </w:p>
    <w:p>
      <w:pPr>
        <w:pStyle w:val="titulo1"/>
        <w:keepNext/>
      </w:pPr>
      <w:r>
        <w:t xml:space="preserve">1. Introdução</w:t>
      </w:r>
    </w:p>
    <w:p>
      <w:pPr>
        <w:pStyle w:val="corpo"/>
      </w:pPr>
      <w:r>
        <w:t xml:space="preserve">Quem acompanha o cotidiano de escolas públicas brasileiras reconhece com facilidade uma cena recorrente: a aula de Arte em que se distribuem folhas em branco e lápis de cor, anuncia-se “desenho livre” e o tempo transcorre sem proposição, sem repertório e sem retorno sobre o que foi produzido. A cena não é anedótica. Ela condensa uma concepção de ensino que trata a Arte como intervalo, recreação ou atividade compensatória, e não como área de conhecimento com objetos, procedimentos e modos de pensar próprios. Tal concepção tem raízes históricas identificáveis, entre elas a apropriação simplificada do ideário modernista da livre-expressão, que, ao valorizar a espontaneidade infantil, acabou por legitimar a ausência de ensino (Barbosa; Cunha, 2010; Iavelberg, 2013).</w:t>
      </w:r>
    </w:p>
    <w:p>
      <w:pPr>
        <w:pStyle w:val="corpo"/>
      </w:pPr>
      <w:r>
        <w:t xml:space="preserve">No plano normativo, contudo, o lugar da Arte na educação básica foi progressivamente afirmado. A Lei de Diretrizes e Bases da Educação Nacional tornou o ensino da arte componente curricular obrigatório (Brasil, 1996); a Lei nº 13.278/2016 explicitou as artes visuais, a dança, a música e o teatro como linguagens que o constituem (Brasil, 2016); e a Base Nacional Comum Curricular (BNCC) organizou o componente em unidades temáticas e em seis dimensões do conhecimento, articulando-o às competências gerais que devem orientar toda a educação básica (Brasil, 2018). Entre essas competências, a segunda trata do exercício da curiosidade intelectual, da investigação, da reflexão, da análise crítica, da imaginação e da criatividade, o que coloca o pensamento crítico no centro das finalidades formativas da escola. Mais recentemente, a reformulação do ensino médio pela Lei nº 14.945/2024 recolocou em debate a carga horária da formação geral básica, na qual se insere a área de Linguagens e suas Tecnologias, à qual a Arte pertence (Brasil, 2024).</w:t>
      </w:r>
    </w:p>
    <w:p>
      <w:pPr>
        <w:pStyle w:val="corpo"/>
      </w:pPr>
      <w:r>
        <w:t xml:space="preserve">Entre a prescrição e a prática, porém, há uma distância considerável. Os indicadores educacionais oficiais mostram que Arte figura entre os componentes com menor proporção de docentes com formação adequada nos anos finais do ensino fundamental, com menos da metade dos professores licenciados na área em que atuam (Brasil, 2023). Somam-se a isso a carga horária reduzida, frequentemente limitada a uma aula semanal, a escassez de espaços e materiais específicos e a atribuição do componente a professores de outras áreas para complementação de jornada. Nesse cenário, o desenho livre deixa de ser uma estratégia pedagógica entre outras e passa a funcionar como sintoma de uma oferta precarizada.</w:t>
      </w:r>
    </w:p>
    <w:p>
      <w:pPr>
        <w:pStyle w:val="corpo"/>
      </w:pPr>
      <w:r>
        <w:t xml:space="preserve">A Psicologia oferece instrumentos valiosos para compreender por que essa redução empobrece a formação dos estudantes. Os estudos psicológicos sobre o pensamento crítico convergem na compreensão de que ele envolve habilidades cognitivas e disposições que não se desenvolvem espontaneamente, mas exigem ensino explícito, deliberado e sistemático (Facione, 1990; Halpern, 2014; Franco; Almeida; Saiz, 2014). A psicologia histórico-cultural, por sua vez, compreende a arte como uma das formas mais elaboradas de objetivação humana, capaz de reorganizar a percepção, a emoção e a imaginação, e situa a mediação pedagógica como condição para que essas funções se desenvolvam (Vigotski, 1999, 2009; Barroco; Superti, 2014). Ambas as perspectivas indicam que a experiência artística só contribui para o pensamento crítico quando é organizada intencionalmente.</w:t>
      </w:r>
    </w:p>
    <w:p>
      <w:pPr>
        <w:pStyle w:val="corpo"/>
      </w:pPr>
      <w:r>
        <w:t xml:space="preserve">Diante disso, este artigo parte da seguinte questão: de que modo o ensino de Arte, tal como delineado pela BNCC, pode contribuir para o desenvolvimento do pensamento crítico de estudantes da escola pública, e quais condições psicológicas e pedagógicas tornam essa contribuição possível? O objetivo geral é analisar as contribuições do ensino de Arte para o desenvolvimento do pensamento crítico à luz da BNCC, em diálogo com a Psicologia. Como objetivos específicos, busca-se examinar o lugar do pensamento crítico na BNCC e no componente Arte; discutir, com base na psicologia histórico-cultural e nos estudos psicológicos sobre o pensamento crítico, os processos mobilizados pela experiência artística; identificar as condições estruturais que sustentam a permanência do desenho livre como prática dominante na escola pública; e propor princípios de mediação pedagógica capazes de aproximar a prática escolar das finalidades formativas previstas na Base.</w:t>
      </w:r>
    </w:p>
    <w:p>
      <w:pPr>
        <w:pStyle w:val="titulo1"/>
        <w:keepNext/>
      </w:pPr>
      <w:r>
        <w:t xml:space="preserve">2. Referencial teórico</w:t>
      </w:r>
    </w:p>
    <w:p>
      <w:pPr>
        <w:pStyle w:val="titulo2"/>
        <w:keepNext/>
      </w:pPr>
      <w:r>
        <w:t xml:space="preserve">2.1 Do ensino de Arte obrigatório à BNCC: trajetória e tensões</w:t>
      </w:r>
    </w:p>
    <w:p>
      <w:pPr>
        <w:pStyle w:val="corpo"/>
      </w:pPr>
      <w:r>
        <w:t xml:space="preserve">A presença da Arte no currículo escolar brasileiro foi marcada por avanços normativos acompanhados de fragilidades estruturais. A Lei nº 5.692/1971 instituiu a Educação Artística como atividade obrigatória nos currículos de 1º e 2º graus, mas o fez em um modelo polivalente, no qual um único professor, formado em licenciaturas curtas, deveria responder por diferentes linguagens artísticas (Brasil, 1971). O resultado, amplamente criticado pelo movimento de arte-educadores nas décadas seguintes, foi a diluição dos conteúdos específicos e a consolidação de práticas centradas em datas comemorativas, trabalhos manuais e atividades de livre expressão.</w:t>
      </w:r>
    </w:p>
    <w:p>
      <w:pPr>
        <w:pStyle w:val="corpo"/>
      </w:pPr>
      <w:r>
        <w:t xml:space="preserve">A reação a esse quadro produziu, a partir dos anos 1980, uma reorientação conceitual decisiva. A Abordagem Triangular, sistematizada por Ana Mae Barbosa, propôs articular a leitura de obras de arte, a contextualização histórica, social e cultural e o fazer artístico, sem hierarquia entre essas ações, deslocando o ensino de Arte da mera expressão para a construção de conhecimento (Barbosa; Cunha, 2010). Essa perspectiva influenciou os Parâmetros Curriculares Nacionais de Arte, que passaram a tratar a área como conhecimento a ser ensinado e aprendido (Brasil, 1997), e encontrou respaldo na Lei de Diretrizes e Bases, que garantiu a obrigatoriedade do componente (Brasil, 1996). A Lei nº 13.278/2016 completou esse percurso ao nomear as quatro linguagens que integram o componente curricular (Brasil, 2016).</w:t>
      </w:r>
    </w:p>
    <w:p>
      <w:pPr>
        <w:pStyle w:val="corpo"/>
      </w:pPr>
      <w:r>
        <w:t xml:space="preserve">A BNCC inseriu a Arte na área de Linguagens, ao lado de Língua Portuguesa, Educação Física e, nos anos finais do ensino fundamental, Língua Inglesa. O componente foi organizado em cinco unidades temáticas (Artes visuais, Dança, Música, Teatro e Artes integradas) e atravessado por seis dimensões do conhecimento: criação, crítica, estesia, expressão, fruição e reflexão. O documento esclarece que não há hierarquia entre essas dimensões nem ordem obrigatória para trabalhá-las, devendo elas ser compreendidas como faces interdependentes da experiência artística (Brasil, 2018). A dimensão da crítica é apresentada como aquela que impulsiona os sujeitos a novas compreensões do espaço em que vivem, por meio do estabelecimento de relações, do estudo e da pesquisa entre diferentes manifestações artísticas e culturais, enquanto a reflexão refere-se ao processo de construir argumentos e ponderações sobre as fruições, as experiências e os processos criativos (Brasil, 2018).</w:t>
      </w:r>
    </w:p>
    <w:p>
      <w:pPr>
        <w:pStyle w:val="corpo"/>
      </w:pPr>
      <w:r>
        <w:t xml:space="preserve">A recepção da Base no campo da arte-educação, entretanto, não foi isenta de tensões. Iavelberg (2018) reconhece que o documento preserva conquistas da área, como a valorização das linguagens e das dimensões do conhecimento, mas adverte que sua efetivação depende do empenho, da formação e do conhecimento dos professores, além de alertar para o risco de que o discurso das competências imprima à formação artística um caráter instrumental. Outro ponto sensível é a unidade temática Artes integradas, que, se mal interpretada, pode reeditar a polivalência sob nova roupagem, atribuindo a um único docente a responsabilidade por todas as linguagens sem a correspondente formação.</w:t>
      </w:r>
    </w:p>
    <w:p>
      <w:pPr>
        <w:pStyle w:val="titulo2"/>
        <w:keepNext/>
      </w:pPr>
      <w:r>
        <w:t xml:space="preserve">2.2 O pensamento crítico como construto psicológico</w:t>
      </w:r>
    </w:p>
    <w:p>
      <w:pPr>
        <w:pStyle w:val="corpo"/>
      </w:pPr>
      <w:r>
        <w:t xml:space="preserve">O pensamento crítico constitui objeto consolidado de investigação na Psicologia, especialmente na psicologia cognitiva e na psicologia da educação. Um dos marcos mais citados é o consenso produzido por especialistas sob a coordenação de Facione (1990), que o definiu como um juízo intencional e autorregulado, resultante da interpretação, da análise, da avaliação e da inferência, acompanhado da explicação das evidências, dos conceitos, dos métodos e dos critérios em que esse juízo se apoia. O mesmo estudo destacou que o pensador crítico não se caracteriza apenas por habilidades, mas também por disposições, como a curiosidade, a abertura a diferentes pontos de vista, a disposição para rever posições e a honestidade diante dos próprios vieses.</w:t>
      </w:r>
    </w:p>
    <w:p>
      <w:pPr>
        <w:pStyle w:val="corpo"/>
      </w:pPr>
      <w:r>
        <w:t xml:space="preserve">Halpern (2014) aprofunda essa compreensão ao conceber o pensamento crítico como o uso de habilidades cognitivas que aumentam a probabilidade de alcançar resultados desejáveis, caracterizando-o como um pensamento propositado, fundamentado e orientado a objetivos. A autora enfatiza dois aspectos de especial interesse para a escola: a necessidade de ensino explícito das habilidades de pensamento e a importância da transferência, isto é, da capacidade de mobilizar em novos contextos aquilo que foi aprendido em situações específicas. Na mesma direção, Franco, Almeida e Saiz (2014) sustentam que o pensamento crítico integra competências e disposições e que seu desenvolvimento não decorre automaticamente da escolarização, exigindo práticas pedagógicas intencionalmente desenhadas para promovê-lo.</w:t>
      </w:r>
    </w:p>
    <w:p>
      <w:pPr>
        <w:pStyle w:val="corpo"/>
      </w:pPr>
      <w:r>
        <w:t xml:space="preserve">Essas contribuições permitem formular um primeiro argumento central deste artigo. Se o pensamento crítico depende de ensino explícito e de oportunidades estruturadas de interpretar, analisar, avaliar e justificar, então uma atividade artística sem proposição, sem repertório e sem diálogo sobre os processos e resultados dificilmente produzirá os efeitos que a BNCC atribui ao componente. O problema do desenho livre, portanto, não está no desenho nem na liberdade, mas na ausência de mediação que transforme a experiência em objeto de pensamento.</w:t>
      </w:r>
    </w:p>
    <w:p>
      <w:pPr>
        <w:pStyle w:val="titulo2"/>
        <w:keepNext/>
      </w:pPr>
      <w:r>
        <w:t xml:space="preserve">2.3 Arte, imaginação e desenvolvimento psíquico na psicologia histórico-cultural</w:t>
      </w:r>
    </w:p>
    <w:p>
      <w:pPr>
        <w:pStyle w:val="corpo"/>
      </w:pPr>
      <w:r>
        <w:t xml:space="preserve">A psicologia histórico-cultural, elaborada por Vigotski e colaboradores nas primeiras décadas do século XX, oferece fundamentos particularmente fecundos para compreender a relação entre arte e desenvolvimento humano. Em Psicologia da arte, Vigotski (1999) analisa a reação estética como resultado da contradição entre o material e a forma da obra, contradição que provoca uma reelaboração das emoções e que o autor associa à catarse. A arte é compreendida como técnica social do sentimento, isto é, como instrumento historicamente produzido por meio do qual a humanidade organiza e transforma sua vida afetiva. Daí a conhecida formulação segundo a qual “a arte é o social em nós” (Vigotski, 1999, p. 315), que recusa tanto a explicação puramente individual quanto a redução da arte a mero reflexo da realidade.</w:t>
      </w:r>
    </w:p>
    <w:p>
      <w:pPr>
        <w:pStyle w:val="corpo"/>
      </w:pPr>
      <w:r>
        <w:t xml:space="preserve">Em Imaginação e criação na infância, o autor demonstra que a imaginação não se opõe à realidade, mas se constrói a partir dela: a atividade criadora combina elementos da experiência anterior, de modo que sua riqueza depende diretamente da riqueza e da diversidade das experiências acumuladas (Vigotski, 2009). Essa tese tem implicação pedagógica imediata. Uma criança a quem não se oferece repertório visual, sonoro, corporal e cênico tende a reproduzir estereótipos, porque sua imaginação dispõe de poucos materiais para combinar. A liberdade sem repertório, nesse sentido, é uma liberdade empobrecida.</w:t>
      </w:r>
    </w:p>
    <w:p>
      <w:pPr>
        <w:pStyle w:val="corpo"/>
      </w:pPr>
      <w:r>
        <w:t xml:space="preserve">Em Psicologia pedagógica, no capítulo dedicado à educação estética, Vigotski (2004) critica tanto o uso da arte como veículo de lições morais quanto sua redução a entretenimento, defendendo que a educação estética deve formar a capacidade de perceber e vivenciar a obra em sua complexidade. Wedekin e Zanella (2016) mostram que essa posição se inscreve em um debate mais amplo sobre as escolas de arte na Rússia pós-revolucionária, no qual Vigotski sustentava a autonomia da experiência estética e a necessidade de ensino sistemático para que ela se desenvolvesse.</w:t>
      </w:r>
    </w:p>
    <w:p>
      <w:pPr>
        <w:pStyle w:val="corpo"/>
      </w:pPr>
      <w:r>
        <w:t xml:space="preserve">Leitores contemporâneos dessa tradição reforçam seu valor para a educação escolar. Barroco e Superti (2014) compreendem a arte como objetivação humana que, ao ser apropriada pelos indivíduos, contribui para o desenvolvimento das funções psicológicas superiores e para a humanização. Martins (2013) demonstra que funções como a percepção, a atenção, a memória, o pensamento e a emoção se complexificam por meio da apropriação de signos culturais, processo no qual o ensino escolar exerce papel insubstituível. Almeida </w:t>
      </w:r>
      <w:r>
        <w:rPr>
          <w:i/>
          <w:iCs/>
        </w:rPr>
        <w:t xml:space="preserve">et al.</w:t>
      </w:r>
      <w:r>
        <w:t xml:space="preserve"> (2024), em revisão sistemática da produção brasileira entre 2006 e 2020, identificam que os conceitos de vivência e de meio têm sido centrais na apropriação do pensamento vigotskiano pelo ensino de Arte, o que reforça a compreensão de que a experiência estética é sempre situada e mediada.</w:t>
      </w:r>
    </w:p>
    <w:p>
      <w:pPr>
        <w:pStyle w:val="titulo2"/>
        <w:keepNext/>
      </w:pPr>
      <w:r>
        <w:t xml:space="preserve">2.4 Evidências empíricas sobre arte e pensamento</w:t>
      </w:r>
    </w:p>
    <w:p>
      <w:pPr>
        <w:pStyle w:val="corpo"/>
      </w:pPr>
      <w:r>
        <w:t xml:space="preserve">A investigação empírica internacional contribui para precisar o alcance e os limites dessas formulações. Hetland </w:t>
      </w:r>
      <w:r>
        <w:rPr>
          <w:i/>
          <w:iCs/>
        </w:rPr>
        <w:t xml:space="preserve">et al.</w:t>
      </w:r>
      <w:r>
        <w:t xml:space="preserve"> (2013), em estudos realizados em aulas de artes visuais, identificaram um conjunto de disposições mentais desenvolvidas no trabalho de ateliê, entre as quais observar com atenção, imaginar possibilidades, refletir sobre o próprio trabalho e avaliá-lo, persistir diante de problemas e compreender o mundo da arte. Eisner (2002), por sua vez, argumenta que as artes ensinam que os problemas podem ter mais de uma solução, que o julgamento pode operar na ausência de regras fixas e que pequenas diferenças podem produzir grandes efeitos de sentido, aprendizagens que dialogam diretamente com as disposições do pensamento crítico.</w:t>
      </w:r>
    </w:p>
    <w:p>
      <w:pPr>
        <w:pStyle w:val="corpo"/>
      </w:pPr>
      <w:r>
        <w:t xml:space="preserve">Housen (2002), ao investigar o desenvolvimento estético por meio de estratégias de observação e discussão de imagens, encontrou indícios de que a prática sistemática de interpretar obras e justificar interpretações com base em evidências visuais favorece habilidades de pensamento crítico transferíveis a outros objetos. Greene, Kisida e Bowen (2014) verificaram, em estudo com sorteio de visitas escolares a um museu de arte, que os estudantes participantes apresentaram ganhos na capacidade de pensar criticamente sobre obras, além de maior tolerância e empatia histórica. Em estudo experimental de larga escala, Bowen e Kisida (2024) observaram que a ampliação das experiências artísticas em escolas públicas produziu efeitos positivos sobre o engajamento escolar, a escrita e a empatia mediada pela arte.</w:t>
      </w:r>
    </w:p>
    <w:p>
      <w:pPr>
        <w:pStyle w:val="corpo"/>
      </w:pPr>
      <w:r>
        <w:t xml:space="preserve">Essas evidências, contudo, não autorizam conclusões ingênuas. A revisão conduzida por Winner, Goldstein e Vincent-Lancrin (2013) para a Organização para a Cooperação e Desenvolvimento Econômico (OCDE) concluiu que as evidências de transferência das artes para o desempenho em disciplinas acadêmicas são, em geral, frágeis, e que a principal justificativa para o ensino de Arte reside nas aprendizagens próprias da área e nos hábitos mentais que ela cultiva. Esse alerta é coerente com a psicologia do pensamento crítico: a transferência não é automática, precisa ser ensinada. Por essa razão, o projeto posterior da OCDE dedicado à criatividade e ao pensamento crítico na escola enfatizou a construção de rubricas e de planos de aula que tornassem esses processos visíveis e avaliáveis em diferentes componentes curriculares, inclusive nas artes (Vincent-Lancrin </w:t>
      </w:r>
      <w:r>
        <w:rPr>
          <w:i/>
          <w:iCs/>
        </w:rPr>
        <w:t xml:space="preserve">et al.</w:t>
      </w:r>
      <w:r>
        <w:t xml:space="preserve">, 2019).</w:t>
      </w:r>
    </w:p>
    <w:p>
      <w:pPr>
        <w:pStyle w:val="titulo1"/>
        <w:keepNext/>
      </w:pPr>
      <w:r>
        <w:t xml:space="preserve">3. Metodologia</w:t>
      </w:r>
    </w:p>
    <w:p>
      <w:pPr>
        <w:pStyle w:val="corpo"/>
      </w:pPr>
      <w:r>
        <w:t xml:space="preserve">Trata-se de pesquisa de abordagem qualitativa, de natureza bibliográfica e documental (Gil, 2017). A pesquisa documental incidiu sobre os principais marcos normativos do ensino de Arte na educação básica: a Lei nº 5.692/1971, a Lei nº 9.394/1996, os Parâmetros Curriculares Nacionais de Arte, a Lei nº 13.278/2016, a BNCC, especialmente as competências gerais, a seção dedicada ao componente Arte no ensino fundamental e a área de Linguagens e suas Tecnologias no ensino médio, e a Lei nº 14.945/2024. Foram também consultados dados oficiais do Censo Escolar referentes à adequação da formação docente.</w:t>
      </w:r>
    </w:p>
    <w:p>
      <w:pPr>
        <w:pStyle w:val="corpo"/>
      </w:pPr>
      <w:r>
        <w:t xml:space="preserve">A pesquisa bibliográfica reuniu produções de três campos que raramente dialogam de forma sistemática: a arte-educação, a psicologia histórico-cultural e a psicologia do pensamento crítico. Os critérios de seleção foram a pertinência ao problema de pesquisa, o reconhecimento das obras como referências em seus respectivos campos e a prioridade a publicações da última década, sem prejuízo das obras clássicas que fundamentam as perspectivas teóricas adotadas. Foram privilegiados artigos publicados em periódicos científicos revisados por pares e livros de referência, nacionais e internacionais.</w:t>
      </w:r>
    </w:p>
    <w:p>
      <w:pPr>
        <w:pStyle w:val="corpo"/>
      </w:pPr>
      <w:r>
        <w:t xml:space="preserve">O tratamento do material seguiu os procedimentos da análise de conteúdo temática, organizados em pré-análise, exploração do material e tratamento e interpretação dos resultados (Bardin, 2016). Da leitura analítica emergiram três categorias: (a) as relações entre as dimensões do conhecimento em Arte e os processos psicológicos do pensamento crítico; (b) as condições estruturais que sustentam a permanência do desenho livre na escola pública; e (c) os princípios de mediação pedagógica capazes de aproximar a prática escolar das finalidades da BNCC. Por não envolver coleta de dados com seres humanos, a pesquisa dispensou apreciação por Comitê de Ética em Pesquisa.</w:t>
      </w:r>
    </w:p>
    <w:p>
      <w:pPr>
        <w:pStyle w:val="titulo1"/>
        <w:keepNext/>
      </w:pPr>
      <w:r>
        <w:t xml:space="preserve">4. Resultados e discussão</w:t>
      </w:r>
    </w:p>
    <w:p>
      <w:pPr>
        <w:pStyle w:val="titulo2"/>
        <w:keepNext/>
      </w:pPr>
      <w:r>
        <w:t xml:space="preserve">4.1 As dimensões do conhecimento em Arte e os processos do pensamento crítico</w:t>
      </w:r>
    </w:p>
    <w:p>
      <w:pPr>
        <w:pStyle w:val="corpo"/>
      </w:pPr>
      <w:r>
        <w:t xml:space="preserve">A análise da BNCC à luz dos estudos psicológicos permite afirmar que as seis dimensões do conhecimento em Arte não constituem apenas uma taxonomia curricular, mas descrevem modos de atividade que mobilizam processos psicológicos diretamente implicados no pensamento crítico. Essa correspondência, sistematizada no Quadro 1, não significa que cada dimensão desenvolva isoladamente uma habilidade específica, já que a própria Base adverte para a interdependência entre elas. Indica, antes, que o componente dispõe de uma estrutura conceitual capaz de sustentar o trabalho intencional com o pensamento crítico, desde que o professor a reconheça e a explore.</w:t>
      </w:r>
    </w:p>
    <w:p>
      <w:pPr>
        <w:pStyle w:val="legenda"/>
        <w:keepNext/>
      </w:pPr>
      <w:r>
        <w:t xml:space="preserve">Quadro 1. Dimensões do conhecimento em Arte, processos psicológicos mobilizados e situações didáticas.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01"/>
        <w:gridCol w:w="3260"/>
        <w:gridCol w:w="4110"/>
      </w:tblGrid>
      <w:tr>
        <w:trPr>
          <w:tblHeader/>
          <w:cantSplit/>
        </w:trPr>
        <w:tc>
          <w:tcPr>
            <w:tcW w:type="dxa" w:w="1701"/>
            <w:shd w:fill="3D0856" w:color="auto" w:val="clear"/>
            <w:tcMar>
              <w:top w:type="dxa" w:w="80"/>
              <w:left w:type="dxa" w:w="110"/>
              <w:bottom w:type="dxa" w:w="80"/>
              <w:right w:type="dxa" w:w="110"/>
            </w:tcMar>
            <w:vAlign w:val="center"/>
          </w:tcPr>
          <w:p>
            <w:pPr>
              <w:pStyle w:val="tabcab"/>
            </w:pPr>
            <w:r>
              <w:t xml:space="preserve">Dimensão (BNCC)</w:t>
            </w:r>
          </w:p>
        </w:tc>
        <w:tc>
          <w:tcPr>
            <w:tcW w:type="dxa" w:w="3260"/>
            <w:shd w:fill="3D0856" w:color="auto" w:val="clear"/>
            <w:tcMar>
              <w:top w:type="dxa" w:w="80"/>
              <w:left w:type="dxa" w:w="110"/>
              <w:bottom w:type="dxa" w:w="80"/>
              <w:right w:type="dxa" w:w="110"/>
            </w:tcMar>
            <w:vAlign w:val="center"/>
          </w:tcPr>
          <w:p>
            <w:pPr>
              <w:pStyle w:val="tabcab"/>
            </w:pPr>
            <w:r>
              <w:t xml:space="preserve">Processos psicológicos predominantes</w:t>
            </w:r>
          </w:p>
        </w:tc>
        <w:tc>
          <w:tcPr>
            <w:tcW w:type="dxa" w:w="4110"/>
            <w:shd w:fill="3D0856" w:color="auto" w:val="clear"/>
            <w:tcMar>
              <w:top w:type="dxa" w:w="80"/>
              <w:left w:type="dxa" w:w="110"/>
              <w:bottom w:type="dxa" w:w="80"/>
              <w:right w:type="dxa" w:w="110"/>
            </w:tcMar>
            <w:vAlign w:val="center"/>
          </w:tcPr>
          <w:p>
            <w:pPr>
              <w:pStyle w:val="tabcab"/>
            </w:pPr>
            <w:r>
              <w:t xml:space="preserve">Exemplo de situação didática</w:t>
            </w:r>
          </w:p>
        </w:tc>
      </w:tr>
      <w:tr>
        <w:trPr>
          <w:cantSplit/>
        </w:trPr>
        <w:tc>
          <w:tcPr>
            <w:tcW w:type="dxa" w:w="1701"/>
            <w:shd w:fill="F4F0F7" w:color="auto" w:val="clear"/>
            <w:tcMar>
              <w:top w:type="dxa" w:w="80"/>
              <w:left w:type="dxa" w:w="110"/>
              <w:bottom w:type="dxa" w:w="80"/>
              <w:right w:type="dxa" w:w="110"/>
            </w:tcMar>
            <w:vAlign w:val="center"/>
          </w:tcPr>
          <w:p>
            <w:pPr>
              <w:pStyle w:val="tabtxt"/>
            </w:pPr>
            <w:r>
              <w:rPr>
                <w:b/>
                <w:bCs/>
              </w:rPr>
              <w:t xml:space="preserve">Criação</w:t>
            </w:r>
          </w:p>
        </w:tc>
        <w:tc>
          <w:tcPr>
            <w:tcW w:type="dxa" w:w="3260"/>
            <w:tcMar>
              <w:top w:type="dxa" w:w="80"/>
              <w:left w:type="dxa" w:w="110"/>
              <w:bottom w:type="dxa" w:w="80"/>
              <w:right w:type="dxa" w:w="110"/>
            </w:tcMar>
            <w:vAlign w:val="center"/>
          </w:tcPr>
          <w:p>
            <w:pPr>
              <w:pStyle w:val="tabtxt"/>
            </w:pPr>
            <w:r>
              <w:t xml:space="preserve">Imaginação combinatória, planejamento, tomada de decisão e resolução de problemas abertos</w:t>
            </w:r>
          </w:p>
        </w:tc>
        <w:tc>
          <w:tcPr>
            <w:tcW w:type="dxa" w:w="4110"/>
            <w:tcMar>
              <w:top w:type="dxa" w:w="80"/>
              <w:left w:type="dxa" w:w="110"/>
              <w:bottom w:type="dxa" w:w="80"/>
              <w:right w:type="dxa" w:w="110"/>
            </w:tcMar>
            <w:vAlign w:val="center"/>
          </w:tcPr>
          <w:p>
            <w:pPr>
              <w:pStyle w:val="tabtxt"/>
            </w:pPr>
            <w:r>
              <w:t xml:space="preserve">Produzir uma série de imagens sobre o bairro a partir de restrições definidas (material, ponto de vista, paleta), justificando as escolhas feitas</w:t>
            </w:r>
          </w:p>
        </w:tc>
      </w:tr>
      <w:tr>
        <w:trPr>
          <w:cantSplit/>
        </w:trPr>
        <w:tc>
          <w:tcPr>
            <w:tcW w:type="dxa" w:w="1701"/>
            <w:shd w:fill="F4F0F7" w:color="auto" w:val="clear"/>
            <w:tcMar>
              <w:top w:type="dxa" w:w="80"/>
              <w:left w:type="dxa" w:w="110"/>
              <w:bottom w:type="dxa" w:w="80"/>
              <w:right w:type="dxa" w:w="110"/>
            </w:tcMar>
            <w:vAlign w:val="center"/>
          </w:tcPr>
          <w:p>
            <w:pPr>
              <w:pStyle w:val="tabtxt"/>
            </w:pPr>
            <w:r>
              <w:rPr>
                <w:b/>
                <w:bCs/>
              </w:rPr>
              <w:t xml:space="preserve">Crítica</w:t>
            </w:r>
          </w:p>
        </w:tc>
        <w:tc>
          <w:tcPr>
            <w:tcW w:type="dxa" w:w="3260"/>
            <w:tcMar>
              <w:top w:type="dxa" w:w="80"/>
              <w:left w:type="dxa" w:w="110"/>
              <w:bottom w:type="dxa" w:w="80"/>
              <w:right w:type="dxa" w:w="110"/>
            </w:tcMar>
            <w:vAlign w:val="center"/>
          </w:tcPr>
          <w:p>
            <w:pPr>
              <w:pStyle w:val="tabtxt"/>
            </w:pPr>
            <w:r>
              <w:t xml:space="preserve">Análise, comparação, estabelecimento de relações e avaliação de argumentos</w:t>
            </w:r>
          </w:p>
        </w:tc>
        <w:tc>
          <w:tcPr>
            <w:tcW w:type="dxa" w:w="4110"/>
            <w:tcMar>
              <w:top w:type="dxa" w:w="80"/>
              <w:left w:type="dxa" w:w="110"/>
              <w:bottom w:type="dxa" w:w="80"/>
              <w:right w:type="dxa" w:w="110"/>
            </w:tcMar>
            <w:vAlign w:val="center"/>
          </w:tcPr>
          <w:p>
            <w:pPr>
              <w:pStyle w:val="tabtxt"/>
            </w:pPr>
            <w:r>
              <w:t xml:space="preserve">Comparar duas obras que tratam do mesmo tema em épocas distintas e discutir como o contexto modifica seus sentidos</w:t>
            </w:r>
          </w:p>
        </w:tc>
      </w:tr>
      <w:tr>
        <w:trPr>
          <w:cantSplit/>
        </w:trPr>
        <w:tc>
          <w:tcPr>
            <w:tcW w:type="dxa" w:w="1701"/>
            <w:shd w:fill="F4F0F7" w:color="auto" w:val="clear"/>
            <w:tcMar>
              <w:top w:type="dxa" w:w="80"/>
              <w:left w:type="dxa" w:w="110"/>
              <w:bottom w:type="dxa" w:w="80"/>
              <w:right w:type="dxa" w:w="110"/>
            </w:tcMar>
            <w:vAlign w:val="center"/>
          </w:tcPr>
          <w:p>
            <w:pPr>
              <w:pStyle w:val="tabtxt"/>
            </w:pPr>
            <w:r>
              <w:rPr>
                <w:b/>
                <w:bCs/>
              </w:rPr>
              <w:t xml:space="preserve">Estesia</w:t>
            </w:r>
          </w:p>
        </w:tc>
        <w:tc>
          <w:tcPr>
            <w:tcW w:type="dxa" w:w="3260"/>
            <w:tcMar>
              <w:top w:type="dxa" w:w="80"/>
              <w:left w:type="dxa" w:w="110"/>
              <w:bottom w:type="dxa" w:w="80"/>
              <w:right w:type="dxa" w:w="110"/>
            </w:tcMar>
            <w:vAlign w:val="center"/>
          </w:tcPr>
          <w:p>
            <w:pPr>
              <w:pStyle w:val="tabtxt"/>
            </w:pPr>
            <w:r>
              <w:t xml:space="preserve">Percepção sensível, atenção deliberada e discriminação perceptiva</w:t>
            </w:r>
          </w:p>
        </w:tc>
        <w:tc>
          <w:tcPr>
            <w:tcW w:type="dxa" w:w="4110"/>
            <w:tcMar>
              <w:top w:type="dxa" w:w="80"/>
              <w:left w:type="dxa" w:w="110"/>
              <w:bottom w:type="dxa" w:w="80"/>
              <w:right w:type="dxa" w:w="110"/>
            </w:tcMar>
            <w:vAlign w:val="center"/>
          </w:tcPr>
          <w:p>
            <w:pPr>
              <w:pStyle w:val="tabtxt"/>
            </w:pPr>
            <w:r>
              <w:t xml:space="preserve">Registrar a paisagem sonora da escola, descrevendo timbres, intensidades e ritmos antes de interpretá-los</w:t>
            </w:r>
          </w:p>
        </w:tc>
      </w:tr>
      <w:tr>
        <w:trPr>
          <w:cantSplit/>
        </w:trPr>
        <w:tc>
          <w:tcPr>
            <w:tcW w:type="dxa" w:w="1701"/>
            <w:shd w:fill="F4F0F7" w:color="auto" w:val="clear"/>
            <w:tcMar>
              <w:top w:type="dxa" w:w="80"/>
              <w:left w:type="dxa" w:w="110"/>
              <w:bottom w:type="dxa" w:w="80"/>
              <w:right w:type="dxa" w:w="110"/>
            </w:tcMar>
            <w:vAlign w:val="center"/>
          </w:tcPr>
          <w:p>
            <w:pPr>
              <w:pStyle w:val="tabtxt"/>
            </w:pPr>
            <w:r>
              <w:rPr>
                <w:b/>
                <w:bCs/>
              </w:rPr>
              <w:t xml:space="preserve">Expressão</w:t>
            </w:r>
          </w:p>
        </w:tc>
        <w:tc>
          <w:tcPr>
            <w:tcW w:type="dxa" w:w="3260"/>
            <w:tcMar>
              <w:top w:type="dxa" w:w="80"/>
              <w:left w:type="dxa" w:w="110"/>
              <w:bottom w:type="dxa" w:w="80"/>
              <w:right w:type="dxa" w:w="110"/>
            </w:tcMar>
            <w:vAlign w:val="center"/>
          </w:tcPr>
          <w:p>
            <w:pPr>
              <w:pStyle w:val="tabtxt"/>
            </w:pPr>
            <w:r>
              <w:t xml:space="preserve">Elaboração simbólica das emoções, autorregulação emocional e comunicação</w:t>
            </w:r>
          </w:p>
        </w:tc>
        <w:tc>
          <w:tcPr>
            <w:tcW w:type="dxa" w:w="4110"/>
            <w:tcMar>
              <w:top w:type="dxa" w:w="80"/>
              <w:left w:type="dxa" w:w="110"/>
              <w:bottom w:type="dxa" w:w="80"/>
              <w:right w:type="dxa" w:w="110"/>
            </w:tcMar>
            <w:vAlign w:val="center"/>
          </w:tcPr>
          <w:p>
            <w:pPr>
              <w:pStyle w:val="tabtxt"/>
            </w:pPr>
            <w:r>
              <w:t xml:space="preserve">Criar uma cena teatral curta que transponha um conflito do cotidiano escolar para a linguagem poética</w:t>
            </w:r>
          </w:p>
        </w:tc>
      </w:tr>
      <w:tr>
        <w:trPr>
          <w:cantSplit/>
        </w:trPr>
        <w:tc>
          <w:tcPr>
            <w:tcW w:type="dxa" w:w="1701"/>
            <w:shd w:fill="F4F0F7" w:color="auto" w:val="clear"/>
            <w:tcMar>
              <w:top w:type="dxa" w:w="80"/>
              <w:left w:type="dxa" w:w="110"/>
              <w:bottom w:type="dxa" w:w="80"/>
              <w:right w:type="dxa" w:w="110"/>
            </w:tcMar>
            <w:vAlign w:val="center"/>
          </w:tcPr>
          <w:p>
            <w:pPr>
              <w:pStyle w:val="tabtxt"/>
            </w:pPr>
            <w:r>
              <w:rPr>
                <w:b/>
                <w:bCs/>
              </w:rPr>
              <w:t xml:space="preserve">Fruição</w:t>
            </w:r>
          </w:p>
        </w:tc>
        <w:tc>
          <w:tcPr>
            <w:tcW w:type="dxa" w:w="3260"/>
            <w:tcMar>
              <w:top w:type="dxa" w:w="80"/>
              <w:left w:type="dxa" w:w="110"/>
              <w:bottom w:type="dxa" w:w="80"/>
              <w:right w:type="dxa" w:w="110"/>
            </w:tcMar>
            <w:vAlign w:val="center"/>
          </w:tcPr>
          <w:p>
            <w:pPr>
              <w:pStyle w:val="tabtxt"/>
            </w:pPr>
            <w:r>
              <w:t xml:space="preserve">Abertura à experiência, disposição para o novo e tolerância à ambiguidade</w:t>
            </w:r>
          </w:p>
        </w:tc>
        <w:tc>
          <w:tcPr>
            <w:tcW w:type="dxa" w:w="4110"/>
            <w:tcMar>
              <w:top w:type="dxa" w:w="80"/>
              <w:left w:type="dxa" w:w="110"/>
              <w:bottom w:type="dxa" w:w="80"/>
              <w:right w:type="dxa" w:w="110"/>
            </w:tcMar>
            <w:vAlign w:val="center"/>
          </w:tcPr>
          <w:p>
            <w:pPr>
              <w:pStyle w:val="tabtxt"/>
            </w:pPr>
            <w:r>
              <w:t xml:space="preserve">Visitar um acervo museológico, presencial ou virtualmente, registrando impressões e perguntas</w:t>
            </w:r>
          </w:p>
        </w:tc>
      </w:tr>
      <w:tr>
        <w:trPr>
          <w:cantSplit/>
        </w:trPr>
        <w:tc>
          <w:tcPr>
            <w:tcW w:type="dxa" w:w="1701"/>
            <w:shd w:fill="F4F0F7" w:color="auto" w:val="clear"/>
            <w:tcMar>
              <w:top w:type="dxa" w:w="80"/>
              <w:left w:type="dxa" w:w="110"/>
              <w:bottom w:type="dxa" w:w="80"/>
              <w:right w:type="dxa" w:w="110"/>
            </w:tcMar>
            <w:vAlign w:val="center"/>
          </w:tcPr>
          <w:p>
            <w:pPr>
              <w:pStyle w:val="tabtxt"/>
            </w:pPr>
            <w:r>
              <w:rPr>
                <w:b/>
                <w:bCs/>
              </w:rPr>
              <w:t xml:space="preserve">Reflexão</w:t>
            </w:r>
          </w:p>
        </w:tc>
        <w:tc>
          <w:tcPr>
            <w:tcW w:type="dxa" w:w="3260"/>
            <w:tcMar>
              <w:top w:type="dxa" w:w="80"/>
              <w:left w:type="dxa" w:w="110"/>
              <w:bottom w:type="dxa" w:w="80"/>
              <w:right w:type="dxa" w:w="110"/>
            </w:tcMar>
            <w:vAlign w:val="center"/>
          </w:tcPr>
          <w:p>
            <w:pPr>
              <w:pStyle w:val="tabtxt"/>
            </w:pPr>
            <w:r>
              <w:t xml:space="preserve">Metacognição, inferência, explicação e autoavaliação</w:t>
            </w:r>
          </w:p>
        </w:tc>
        <w:tc>
          <w:tcPr>
            <w:tcW w:type="dxa" w:w="4110"/>
            <w:tcMar>
              <w:top w:type="dxa" w:w="80"/>
              <w:left w:type="dxa" w:w="110"/>
              <w:bottom w:type="dxa" w:w="80"/>
              <w:right w:type="dxa" w:w="110"/>
            </w:tcMar>
            <w:vAlign w:val="center"/>
          </w:tcPr>
          <w:p>
            <w:pPr>
              <w:pStyle w:val="tabtxt"/>
            </w:pPr>
            <w:r>
              <w:t xml:space="preserve">Manter um diário de processo e participar de conversa coletiva sobre o que mudou na própria compreensão</w:t>
            </w:r>
          </w:p>
        </w:tc>
      </w:tr>
    </w:tbl>
    <w:p>
      <w:pPr>
        <w:pStyle w:val="legenda"/>
      </w:pPr>
      <w:r>
        <w:t xml:space="preserve">Fonte: Elaborado pela autora com base em Brasil (2018), Facione (1990), Vigotski (2009) e Hetland </w:t>
      </w:r>
      <w:r>
        <w:rPr>
          <w:i/>
          <w:iCs/>
        </w:rPr>
        <w:t xml:space="preserve">et al.</w:t>
      </w:r>
      <w:r>
        <w:t xml:space="preserve"> (2013).</w:t>
      </w:r>
    </w:p>
    <w:p>
      <w:pPr>
        <w:pStyle w:val="corpo"/>
      </w:pPr>
      <w:r>
        <w:t xml:space="preserve">O exame do Quadro 1 evidencia que as dimensões da crítica e da reflexão correspondem de modo mais direto às habilidades descritas por Facione (1990), como a análise, a avaliação, a inferência, a explicação e a autorregulação. A estesia e a fruição, no entanto, desempenham papel igualmente relevante, ainda que menos evidente. A percepção atenta e discriminativa, cultivada pela estesia, é condição para que a análise tenha material sobre o qual operar; a abertura à experiência e a tolerância à ambiguidade, mobilizadas pela fruição, correspondem às disposições que a literatura psicológica associa ao pensador crítico. Hetland </w:t>
      </w:r>
      <w:r>
        <w:rPr>
          <w:i/>
          <w:iCs/>
        </w:rPr>
        <w:t xml:space="preserve">et al.</w:t>
      </w:r>
      <w:r>
        <w:t xml:space="preserve"> (2013) mostram que observar com atenção é um hábito que se aprende, e não uma capacidade natural, o que reforça a necessidade de proposição e de mediação.</w:t>
      </w:r>
    </w:p>
    <w:p>
      <w:pPr>
        <w:pStyle w:val="corpo"/>
      </w:pPr>
      <w:r>
        <w:t xml:space="preserve">A criação, por sua vez, é o lugar privilegiado da imaginação, entendida por Vigotski (2009) como atividade combinatória que reelabora a experiência. Criar a partir de restrições, escolher entre alternativas e justificar decisões exige planejamento, avaliação e revisão, processos que Eisner (2002) identifica como próprios do pensamento artístico e que se aproximam da resolução de problemas abertos estudada pela psicologia cognitiva. Já a expressão, quando mediada, permite a elaboração simbólica das emoções, o que confere à aula de Arte uma contribuição singular para a autorregulação emocional, dimensão frequentemente negligenciada nas abordagens estritamente cognitivas do pensamento crítico. Do ponto de vista histórico-cultural, essa elaboração corresponde à função da arte como técnica social do sentimento descrita por Vigotski (1999): a emoção não é apenas descarregada, mas transformada pela forma.</w:t>
      </w:r>
    </w:p>
    <w:p>
      <w:pPr>
        <w:pStyle w:val="corpo"/>
      </w:pPr>
      <w:r>
        <w:t xml:space="preserve">Essa articulação entre cognição e afeto constitui, talvez, a contribuição mais original que o ensino de Arte oferece ao debate sobre o pensamento crítico. Enquanto parte da literatura o trata como conjunto de operações lógicas, a experiência artística evidencia que interpretar, avaliar e julgar envolvem também a sensibilidade, a empatia e a capacidade de sustentar a ambiguidade sem buscar respostas prematuras. Os resultados de Greene, Kisida e Bowen (2014) e de Bowen e Kisida (2024), que associam experiências artísticas a ganhos em pensamento crítico sobre obras e em empatia, são coerentes com essa leitura integrada, que a psicologia histórico-cultural antecipou ao recusar a cisão entre intelecto e emoção.</w:t>
      </w:r>
    </w:p>
    <w:p>
      <w:pPr>
        <w:pStyle w:val="titulo2"/>
        <w:keepNext/>
      </w:pPr>
      <w:r>
        <w:t xml:space="preserve">4.2 O desenho livre como sintoma: espontaneísmo e condições estruturais</w:t>
      </w:r>
    </w:p>
    <w:p>
      <w:pPr>
        <w:pStyle w:val="corpo"/>
      </w:pPr>
      <w:r>
        <w:t xml:space="preserve">Seria injusto e analiticamente pobre atribuir a persistência do desenho livre a uma escolha individual dos professores. O desenho espontâneo tem valor no desenvolvimento infantil, e Iavelberg (2013) mostra que ele pode e deve conviver com o que denomina desenho cultivado, aquele que se enriquece pelo contato com produções de outros desenhistas, pela observação e pelo diálogo com o professor. O problema emerge quando a atividade livre se torna o modo predominante, ou único, de conduzir a aula, substituindo o ensino em vez de complementá-lo. Nesse caso, o estudante permanece circunscrito ao repertório que já possui, e a aula reproduz desigualdades: aqueles que têm acesso a bens culturais fora da escola ampliam seu repertório; os que dependem da escola para esse acesso permanecem sem ele.</w:t>
      </w:r>
    </w:p>
    <w:p>
      <w:pPr>
        <w:pStyle w:val="corpo"/>
      </w:pPr>
      <w:r>
        <w:t xml:space="preserve">A análise documental e dos indicadores oficiais revela que essa prática se sustenta em condições estruturais bem definidas. A primeira é a formação docente: com menos da metade dos professores de Arte dos anos finais com licenciatura na área (Brasil, 2023), é previsível que muitos docentes não disponham do repertório conceitual e procedimental necessário para planejar aulas que articulem as dimensões do conhecimento. A segunda é a carga horária: com uma aula semanal, em média, torna-se difícil desenvolver projetos que exijam continuidade, experimentação e retomada. A terceira é a infraestrutura, marcada pela ausência de salas-ambiente, de materiais e de recursos para a música, a dança e o teatro. A quarta é a própria organização do trabalho docente, que frequentemente atribui o componente para complementação de jornada, transformando-o em disciplina de passagem.</w:t>
      </w:r>
    </w:p>
    <w:p>
      <w:pPr>
        <w:pStyle w:val="corpo"/>
      </w:pPr>
      <w:r>
        <w:t xml:space="preserve">Do ponto de vista psicológico, o desenho livre recorrente produz efeitos que vão além da simples perda de tempo pedagógico. Ao não receber devolutivas, o estudante não constrói critérios para avaliar sua produção e tende a internalizar juízos genéricos, como “sei desenhar” ou “não tenho jeito para arte”, que operam como crenças fixas sobre a própria capacidade. Ao não ser confrontado com outras produções, não desenvolve a descentração necessária para compreender pontos de vista distintos. E, ao não ser convidado a justificar escolhas, não exercita a explicação e a argumentação que caracterizam o pensamento crítico. A ausência de mediação, portanto, não é neutra: ela priva o estudante justamente das experiências que a BNCC pretende garantir.</w:t>
      </w:r>
    </w:p>
    <w:p>
      <w:pPr>
        <w:pStyle w:val="corpo"/>
      </w:pPr>
      <w:r>
        <w:t xml:space="preserve">Essa constatação tem uma dimensão de equidade que interessa diretamente à escola pública. A Base afirma o compromisso com a valorização e a fruição das diversas manifestações artísticas e culturais, das locais às mundiais (Brasil, 2018). Para estudantes das camadas populares, a escola é frequentemente o principal, quando não o único, espaço de acesso sistemático a esse repertório. Reduzir a aula de Arte ao desenho livre equivale, nesses contextos, a negar um direito de aprendizagem.</w:t>
      </w:r>
    </w:p>
    <w:p>
      <w:pPr>
        <w:pStyle w:val="titulo2"/>
        <w:keepNext/>
      </w:pPr>
      <w:r>
        <w:t xml:space="preserve">4.3 Da prescrição à prática: princípios de mediação pedagógica</w:t>
      </w:r>
    </w:p>
    <w:p>
      <w:pPr>
        <w:pStyle w:val="corpo"/>
      </w:pPr>
      <w:r>
        <w:t xml:space="preserve">Superar o desenho livre não significa retornar ao tecnicismo nem substituir a expressão pela cópia de modelos, armadilha que a história do ensino de Arte no Brasil conhece bem. Significa organizar a experiência artística de modo que ela se torne objeto de pensamento. A análise permitiu sistematizar, no Quadro 2, as diferenças entre a atividade livre tomada como fim em si e uma prática mediada orientada ao desenvolvimento do pensamento crítico.</w:t>
      </w:r>
    </w:p>
    <w:p>
      <w:pPr>
        <w:pStyle w:val="legenda"/>
        <w:keepNext/>
      </w:pPr>
      <w:r>
        <w:t xml:space="preserve">Quadro 2. Desenho livre como fim em si e prática mediada orientada ao pensamento crítico.</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26"/>
        <w:gridCol w:w="3118"/>
        <w:gridCol w:w="3827"/>
      </w:tblGrid>
      <w:tr>
        <w:trPr>
          <w:tblHeader/>
          <w:cantSplit/>
        </w:trPr>
        <w:tc>
          <w:tcPr>
            <w:tcW w:type="dxa" w:w="2126"/>
            <w:shd w:fill="3D0856" w:color="auto" w:val="clear"/>
            <w:tcMar>
              <w:top w:type="dxa" w:w="80"/>
              <w:left w:type="dxa" w:w="110"/>
              <w:bottom w:type="dxa" w:w="80"/>
              <w:right w:type="dxa" w:w="110"/>
            </w:tcMar>
            <w:vAlign w:val="center"/>
          </w:tcPr>
          <w:p>
            <w:pPr>
              <w:pStyle w:val="tabcab"/>
            </w:pPr>
            <w:r>
              <w:t xml:space="preserve">Aspecto</w:t>
            </w:r>
          </w:p>
        </w:tc>
        <w:tc>
          <w:tcPr>
            <w:tcW w:type="dxa" w:w="3118"/>
            <w:shd w:fill="3D0856" w:color="auto" w:val="clear"/>
            <w:tcMar>
              <w:top w:type="dxa" w:w="80"/>
              <w:left w:type="dxa" w:w="110"/>
              <w:bottom w:type="dxa" w:w="80"/>
              <w:right w:type="dxa" w:w="110"/>
            </w:tcMar>
            <w:vAlign w:val="center"/>
          </w:tcPr>
          <w:p>
            <w:pPr>
              <w:pStyle w:val="tabcab"/>
            </w:pPr>
            <w:r>
              <w:t xml:space="preserve">Desenho livre como fim em si</w:t>
            </w:r>
          </w:p>
        </w:tc>
        <w:tc>
          <w:tcPr>
            <w:tcW w:type="dxa" w:w="3827"/>
            <w:shd w:fill="3D0856" w:color="auto" w:val="clear"/>
            <w:tcMar>
              <w:top w:type="dxa" w:w="80"/>
              <w:left w:type="dxa" w:w="110"/>
              <w:bottom w:type="dxa" w:w="80"/>
              <w:right w:type="dxa" w:w="110"/>
            </w:tcMar>
            <w:vAlign w:val="center"/>
          </w:tcPr>
          <w:p>
            <w:pPr>
              <w:pStyle w:val="tabcab"/>
            </w:pPr>
            <w:r>
              <w:t xml:space="preserve">Prática mediada orientada ao pensamento crítico</w:t>
            </w:r>
          </w:p>
        </w:tc>
      </w:tr>
      <w:tr>
        <w:trPr>
          <w:cantSplit/>
        </w:trPr>
        <w:tc>
          <w:tcPr>
            <w:tcW w:type="dxa" w:w="2126"/>
            <w:shd w:fill="F4F0F7" w:color="auto" w:val="clear"/>
            <w:tcMar>
              <w:top w:type="dxa" w:w="80"/>
              <w:left w:type="dxa" w:w="110"/>
              <w:bottom w:type="dxa" w:w="80"/>
              <w:right w:type="dxa" w:w="110"/>
            </w:tcMar>
            <w:vAlign w:val="center"/>
          </w:tcPr>
          <w:p>
            <w:pPr>
              <w:pStyle w:val="tabtxt"/>
            </w:pPr>
            <w:r>
              <w:rPr>
                <w:b/>
                <w:bCs/>
              </w:rPr>
              <w:t xml:space="preserve">Intencionalidade</w:t>
            </w:r>
          </w:p>
        </w:tc>
        <w:tc>
          <w:tcPr>
            <w:tcW w:type="dxa" w:w="3118"/>
            <w:tcMar>
              <w:top w:type="dxa" w:w="80"/>
              <w:left w:type="dxa" w:w="110"/>
              <w:bottom w:type="dxa" w:w="80"/>
              <w:right w:type="dxa" w:w="110"/>
            </w:tcMar>
            <w:vAlign w:val="center"/>
          </w:tcPr>
          <w:p>
            <w:pPr>
              <w:pStyle w:val="tabtxt"/>
            </w:pPr>
            <w:r>
              <w:t xml:space="preserve">Ausente ou implícita; a atividade ocupa o tempo da aula</w:t>
            </w:r>
          </w:p>
        </w:tc>
        <w:tc>
          <w:tcPr>
            <w:tcW w:type="dxa" w:w="3827"/>
            <w:tcMar>
              <w:top w:type="dxa" w:w="80"/>
              <w:left w:type="dxa" w:w="110"/>
              <w:bottom w:type="dxa" w:w="80"/>
              <w:right w:type="dxa" w:w="110"/>
            </w:tcMar>
            <w:vAlign w:val="center"/>
          </w:tcPr>
          <w:p>
            <w:pPr>
              <w:pStyle w:val="tabtxt"/>
            </w:pPr>
            <w:r>
              <w:t xml:space="preserve">Objetivos explícitos, vinculados às dimensões e habilidades da BNCC e compartilhados com os estudantes</w:t>
            </w:r>
          </w:p>
        </w:tc>
      </w:tr>
      <w:tr>
        <w:trPr>
          <w:cantSplit/>
        </w:trPr>
        <w:tc>
          <w:tcPr>
            <w:tcW w:type="dxa" w:w="2126"/>
            <w:shd w:fill="F4F0F7" w:color="auto" w:val="clear"/>
            <w:tcMar>
              <w:top w:type="dxa" w:w="80"/>
              <w:left w:type="dxa" w:w="110"/>
              <w:bottom w:type="dxa" w:w="80"/>
              <w:right w:type="dxa" w:w="110"/>
            </w:tcMar>
            <w:vAlign w:val="center"/>
          </w:tcPr>
          <w:p>
            <w:pPr>
              <w:pStyle w:val="tabtxt"/>
            </w:pPr>
            <w:r>
              <w:rPr>
                <w:b/>
                <w:bCs/>
              </w:rPr>
              <w:t xml:space="preserve">Papel do professor</w:t>
            </w:r>
          </w:p>
        </w:tc>
        <w:tc>
          <w:tcPr>
            <w:tcW w:type="dxa" w:w="3118"/>
            <w:tcMar>
              <w:top w:type="dxa" w:w="80"/>
              <w:left w:type="dxa" w:w="110"/>
              <w:bottom w:type="dxa" w:w="80"/>
              <w:right w:type="dxa" w:w="110"/>
            </w:tcMar>
            <w:vAlign w:val="center"/>
          </w:tcPr>
          <w:p>
            <w:pPr>
              <w:pStyle w:val="tabtxt"/>
            </w:pPr>
            <w:r>
              <w:t xml:space="preserve">Fornecer material e aguardar a produção</w:t>
            </w:r>
          </w:p>
        </w:tc>
        <w:tc>
          <w:tcPr>
            <w:tcW w:type="dxa" w:w="3827"/>
            <w:tcMar>
              <w:top w:type="dxa" w:w="80"/>
              <w:left w:type="dxa" w:w="110"/>
              <w:bottom w:type="dxa" w:w="80"/>
              <w:right w:type="dxa" w:w="110"/>
            </w:tcMar>
            <w:vAlign w:val="center"/>
          </w:tcPr>
          <w:p>
            <w:pPr>
              <w:pStyle w:val="tabtxt"/>
            </w:pPr>
            <w:r>
              <w:t xml:space="preserve">Propor problemas, apresentar repertório, formular perguntas e oferecer devolutivas</w:t>
            </w:r>
          </w:p>
        </w:tc>
      </w:tr>
      <w:tr>
        <w:trPr>
          <w:cantSplit/>
        </w:trPr>
        <w:tc>
          <w:tcPr>
            <w:tcW w:type="dxa" w:w="2126"/>
            <w:shd w:fill="F4F0F7" w:color="auto" w:val="clear"/>
            <w:tcMar>
              <w:top w:type="dxa" w:w="80"/>
              <w:left w:type="dxa" w:w="110"/>
              <w:bottom w:type="dxa" w:w="80"/>
              <w:right w:type="dxa" w:w="110"/>
            </w:tcMar>
            <w:vAlign w:val="center"/>
          </w:tcPr>
          <w:p>
            <w:pPr>
              <w:pStyle w:val="tabtxt"/>
            </w:pPr>
            <w:r>
              <w:rPr>
                <w:b/>
                <w:bCs/>
              </w:rPr>
              <w:t xml:space="preserve">Repertório cultural</w:t>
            </w:r>
          </w:p>
        </w:tc>
        <w:tc>
          <w:tcPr>
            <w:tcW w:type="dxa" w:w="3118"/>
            <w:tcMar>
              <w:top w:type="dxa" w:w="80"/>
              <w:left w:type="dxa" w:w="110"/>
              <w:bottom w:type="dxa" w:w="80"/>
              <w:right w:type="dxa" w:w="110"/>
            </w:tcMar>
            <w:vAlign w:val="center"/>
          </w:tcPr>
          <w:p>
            <w:pPr>
              <w:pStyle w:val="tabtxt"/>
            </w:pPr>
            <w:r>
              <w:t xml:space="preserve">Restrito ao que o estudante já traz</w:t>
            </w:r>
          </w:p>
        </w:tc>
        <w:tc>
          <w:tcPr>
            <w:tcW w:type="dxa" w:w="3827"/>
            <w:tcMar>
              <w:top w:type="dxa" w:w="80"/>
              <w:left w:type="dxa" w:w="110"/>
              <w:bottom w:type="dxa" w:w="80"/>
              <w:right w:type="dxa" w:w="110"/>
            </w:tcMar>
            <w:vAlign w:val="center"/>
          </w:tcPr>
          <w:p>
            <w:pPr>
              <w:pStyle w:val="tabtxt"/>
            </w:pPr>
            <w:r>
              <w:t xml:space="preserve">Ampliado por obras, artistas e manifestações locais, nacionais e mundiais</w:t>
            </w:r>
          </w:p>
        </w:tc>
      </w:tr>
      <w:tr>
        <w:trPr>
          <w:cantSplit/>
        </w:trPr>
        <w:tc>
          <w:tcPr>
            <w:tcW w:type="dxa" w:w="2126"/>
            <w:shd w:fill="F4F0F7" w:color="auto" w:val="clear"/>
            <w:tcMar>
              <w:top w:type="dxa" w:w="80"/>
              <w:left w:type="dxa" w:w="110"/>
              <w:bottom w:type="dxa" w:w="80"/>
              <w:right w:type="dxa" w:w="110"/>
            </w:tcMar>
            <w:vAlign w:val="center"/>
          </w:tcPr>
          <w:p>
            <w:pPr>
              <w:pStyle w:val="tabtxt"/>
            </w:pPr>
            <w:r>
              <w:rPr>
                <w:b/>
                <w:bCs/>
              </w:rPr>
              <w:t xml:space="preserve">Atividade do estudante</w:t>
            </w:r>
          </w:p>
        </w:tc>
        <w:tc>
          <w:tcPr>
            <w:tcW w:type="dxa" w:w="3118"/>
            <w:tcMar>
              <w:top w:type="dxa" w:w="80"/>
              <w:left w:type="dxa" w:w="110"/>
              <w:bottom w:type="dxa" w:w="80"/>
              <w:right w:type="dxa" w:w="110"/>
            </w:tcMar>
            <w:vAlign w:val="center"/>
          </w:tcPr>
          <w:p>
            <w:pPr>
              <w:pStyle w:val="tabtxt"/>
            </w:pPr>
            <w:r>
              <w:t xml:space="preserve">Reprodução de estereótipos gráficos</w:t>
            </w:r>
          </w:p>
        </w:tc>
        <w:tc>
          <w:tcPr>
            <w:tcW w:type="dxa" w:w="3827"/>
            <w:tcMar>
              <w:top w:type="dxa" w:w="80"/>
              <w:left w:type="dxa" w:w="110"/>
              <w:bottom w:type="dxa" w:w="80"/>
              <w:right w:type="dxa" w:w="110"/>
            </w:tcMar>
            <w:vAlign w:val="center"/>
          </w:tcPr>
          <w:p>
            <w:pPr>
              <w:pStyle w:val="tabtxt"/>
            </w:pPr>
            <w:r>
              <w:t xml:space="preserve">Investigação, experimentação e justificação de escolhas</w:t>
            </w:r>
          </w:p>
        </w:tc>
      </w:tr>
      <w:tr>
        <w:trPr>
          <w:cantSplit/>
        </w:trPr>
        <w:tc>
          <w:tcPr>
            <w:tcW w:type="dxa" w:w="2126"/>
            <w:shd w:fill="F4F0F7" w:color="auto" w:val="clear"/>
            <w:tcMar>
              <w:top w:type="dxa" w:w="80"/>
              <w:left w:type="dxa" w:w="110"/>
              <w:bottom w:type="dxa" w:w="80"/>
              <w:right w:type="dxa" w:w="110"/>
            </w:tcMar>
            <w:vAlign w:val="center"/>
          </w:tcPr>
          <w:p>
            <w:pPr>
              <w:pStyle w:val="tabtxt"/>
            </w:pPr>
            <w:r>
              <w:rPr>
                <w:b/>
                <w:bCs/>
              </w:rPr>
              <w:t xml:space="preserve">Avaliação</w:t>
            </w:r>
          </w:p>
        </w:tc>
        <w:tc>
          <w:tcPr>
            <w:tcW w:type="dxa" w:w="3118"/>
            <w:tcMar>
              <w:top w:type="dxa" w:w="80"/>
              <w:left w:type="dxa" w:w="110"/>
              <w:bottom w:type="dxa" w:w="80"/>
              <w:right w:type="dxa" w:w="110"/>
            </w:tcMar>
            <w:vAlign w:val="center"/>
          </w:tcPr>
          <w:p>
            <w:pPr>
              <w:pStyle w:val="tabtxt"/>
            </w:pPr>
            <w:r>
              <w:t xml:space="preserve">Inexistente ou centrada no capricho e no talento presumido</w:t>
            </w:r>
          </w:p>
        </w:tc>
        <w:tc>
          <w:tcPr>
            <w:tcW w:type="dxa" w:w="3827"/>
            <w:tcMar>
              <w:top w:type="dxa" w:w="80"/>
              <w:left w:type="dxa" w:w="110"/>
              <w:bottom w:type="dxa" w:w="80"/>
              <w:right w:type="dxa" w:w="110"/>
            </w:tcMar>
            <w:vAlign w:val="center"/>
          </w:tcPr>
          <w:p>
            <w:pPr>
              <w:pStyle w:val="tabtxt"/>
            </w:pPr>
            <w:r>
              <w:t xml:space="preserve">Processual, com portfólios, registros, autoavaliação e critérios compartilhados</w:t>
            </w:r>
          </w:p>
        </w:tc>
      </w:tr>
      <w:tr>
        <w:trPr>
          <w:cantSplit/>
        </w:trPr>
        <w:tc>
          <w:tcPr>
            <w:tcW w:type="dxa" w:w="2126"/>
            <w:shd w:fill="F4F0F7" w:color="auto" w:val="clear"/>
            <w:tcMar>
              <w:top w:type="dxa" w:w="80"/>
              <w:left w:type="dxa" w:w="110"/>
              <w:bottom w:type="dxa" w:w="80"/>
              <w:right w:type="dxa" w:w="110"/>
            </w:tcMar>
            <w:vAlign w:val="center"/>
          </w:tcPr>
          <w:p>
            <w:pPr>
              <w:pStyle w:val="tabtxt"/>
            </w:pPr>
            <w:r>
              <w:rPr>
                <w:b/>
                <w:bCs/>
              </w:rPr>
              <w:t xml:space="preserve">Efeito psicológico esperado</w:t>
            </w:r>
          </w:p>
        </w:tc>
        <w:tc>
          <w:tcPr>
            <w:tcW w:type="dxa" w:w="3118"/>
            <w:tcMar>
              <w:top w:type="dxa" w:w="80"/>
              <w:left w:type="dxa" w:w="110"/>
              <w:bottom w:type="dxa" w:w="80"/>
              <w:right w:type="dxa" w:w="110"/>
            </w:tcMar>
            <w:vAlign w:val="center"/>
          </w:tcPr>
          <w:p>
            <w:pPr>
              <w:pStyle w:val="tabtxt"/>
            </w:pPr>
            <w:r>
              <w:t xml:space="preserve">Expressão sem ampliação das funções psicológicas</w:t>
            </w:r>
          </w:p>
        </w:tc>
        <w:tc>
          <w:tcPr>
            <w:tcW w:type="dxa" w:w="3827"/>
            <w:tcMar>
              <w:top w:type="dxa" w:w="80"/>
              <w:left w:type="dxa" w:w="110"/>
              <w:bottom w:type="dxa" w:w="80"/>
              <w:right w:type="dxa" w:w="110"/>
            </w:tcMar>
            <w:vAlign w:val="center"/>
          </w:tcPr>
          <w:p>
            <w:pPr>
              <w:pStyle w:val="tabtxt"/>
            </w:pPr>
            <w:r>
              <w:t xml:space="preserve">Desenvolvimento da percepção, da imaginação, da análise e da autorregulação</w:t>
            </w:r>
          </w:p>
        </w:tc>
      </w:tr>
    </w:tbl>
    <w:p>
      <w:pPr>
        <w:pStyle w:val="legenda"/>
      </w:pPr>
      <w:r>
        <w:t xml:space="preserve">Fonte: Elaborado pela autora com base em Barbosa e Cunha (2010), Vigotski (2004, 2009) e Franco, Almeida e Saiz (2014).</w:t>
      </w:r>
    </w:p>
    <w:p>
      <w:pPr>
        <w:pStyle w:val="corpo"/>
      </w:pPr>
      <w:r>
        <w:t xml:space="preserve">Com base nessas distinções, é possível propor quatro princípios de mediação. O primeiro é a intencionalidade explícita: cada proposta deve ter objetivos de aprendizagem claros, vinculados às habilidades e às dimensões do conhecimento previstas na BNCC, e esses objetivos devem ser compartilhados com os estudantes. A literatura psicológica é consistente ao indicar que o pensamento crítico se desenvolve melhor quando suas operações são nomeadas e tornadas visíveis (Halpern, 2014; Franco; Almeida; Saiz, 2014).</w:t>
      </w:r>
    </w:p>
    <w:p>
      <w:pPr>
        <w:pStyle w:val="corpo"/>
      </w:pPr>
      <w:r>
        <w:t xml:space="preserve">O segundo princípio é a ampliação do repertório. Coerentemente com a tese vigotskiana de que a imaginação se alimenta da experiência (Vigotski, 2009), a aula deve apresentar obras, artistas e manifestações culturais diversas, incluindo as produções do território em que a escola se insere, as culturas populares, as matrizes africanas e indígenas e a arte contemporânea. A Abordagem Triangular oferece um modo de organizar esse trabalho ao articular leitura, contextualização e fazer (Barbosa; Cunha, 2010), e não exige recursos sofisticados: reproduções impressas, projeções, gravações e visitas a espaços culturais da cidade, presenciais ou virtuais, já permitem ampliar significativamente o horizonte dos estudantes.</w:t>
      </w:r>
    </w:p>
    <w:p>
      <w:pPr>
        <w:pStyle w:val="corpo"/>
      </w:pPr>
      <w:r>
        <w:t xml:space="preserve">O terceiro princípio é a conversa interpretativa. Perguntas abertas, como o que se observa na obra, o que leva a determinada interpretação e o que mais se pode descobrir, exigem que o estudante sustente suas leituras com evidências e considere interpretações alternativas. Os estudos de Housen (2002) sugerem que esse tipo de discussão, praticado com regularidade, favorece habilidades de pensamento crítico transferíveis. Trata-se de um procedimento acessível, que depende mais da formação do professor do que de recursos materiais.</w:t>
      </w:r>
    </w:p>
    <w:p>
      <w:pPr>
        <w:pStyle w:val="corpo"/>
      </w:pPr>
      <w:r>
        <w:t xml:space="preserve">O quarto princípio é a avaliação processual. Portfólios, diários de processo, registros fotográficos e momentos de autoavaliação permitem que o estudante acompanhe a transformação de sua própria compreensão, exercitando a metacognição que Facione (1990) identifica como autorregulação. Critérios construídos coletivamente substituem o julgamento baseado no capricho ou no talento presumido e tornam a aprendizagem em Arte observável, o que contribui também para legitimar o componente perante a comunidade escolar.</w:t>
      </w:r>
    </w:p>
    <w:p>
      <w:pPr>
        <w:pStyle w:val="corpo"/>
      </w:pPr>
      <w:r>
        <w:t xml:space="preserve">Esses princípios convergem com a perspectiva freireana segundo a qual ensinar não é transferir conhecimento, mas criar as possibilidades para sua produção ou construção (Freire, 1996). Na aula de Arte, isso implica recusar tanto a transmissão de modelos prontos quanto o abandono do estudante à própria sorte, situando o professor como mediador que propõe problemas, oferece repertório e formula perguntas que deslocam o olhar.</w:t>
      </w:r>
    </w:p>
    <w:p>
      <w:pPr>
        <w:pStyle w:val="titulo2"/>
        <w:keepNext/>
      </w:pPr>
      <w:r>
        <w:t xml:space="preserve">4.4 Limites, tensões e cuidados interpretativos</w:t>
      </w:r>
    </w:p>
    <w:p>
      <w:pPr>
        <w:pStyle w:val="corpo"/>
      </w:pPr>
      <w:r>
        <w:t xml:space="preserve">A análise também evidenciou limites que precisam ser reconhecidos. O primeiro diz respeito ao risco de instrumentalização da Arte. Ao justificar o componente por sua contribuição ao pensamento crítico, corre-se o perigo de reduzi-lo a meio para fins externos, perdendo de vista o valor intrínseco da experiência estética. Iavelberg (2018) já alertava para o caráter instrumental de parte dos discursos educacionais contemporâneos, e Winner, Goldstein e Vincent-Lancrin (2013) concluíram que a justificativa mais sólida para o ensino de Arte reside nas aprendizagens próprias da área. Este artigo não propõe subordinar a Arte ao pensamento crítico, mas reconhecer que o pensamento crítico é constitutivo da própria experiência artística, quando esta é plenamente desenvolvida.</w:t>
      </w:r>
    </w:p>
    <w:p>
      <w:pPr>
        <w:pStyle w:val="corpo"/>
      </w:pPr>
      <w:r>
        <w:t xml:space="preserve">O segundo limite refere-se ao uso do termo pensamento crítico como slogan. Sua presença nas competências gerais da BNCC não garante sua efetivação, e a ausência de definição operacional no documento pode favorecer apropriações vagas. A contribuição da Psicologia, nesse ponto, é oferecer definições mais precisas e instrumentos de observação que permitam ao professor reconhecer quando o estudante está, de fato, interpretando, analisando, avaliando e justificando, como propõem as rubricas desenvolvidas no projeto da OCDE sobre criatividade e pensamento crítico (Vincent-Lancrin </w:t>
      </w:r>
      <w:r>
        <w:rPr>
          <w:i/>
          <w:iCs/>
        </w:rPr>
        <w:t xml:space="preserve">et al.</w:t>
      </w:r>
      <w:r>
        <w:t xml:space="preserve">, 2019).</w:t>
      </w:r>
    </w:p>
    <w:p>
      <w:pPr>
        <w:pStyle w:val="corpo"/>
      </w:pPr>
      <w:r>
        <w:t xml:space="preserve">O terceiro limite é de natureza metodológica. Por se tratar de estudo bibliográfico e documental, as relações aqui estabelecidas entre dimensões do conhecimento em Arte e processos psicológicos têm caráter analítico e precisam ser investigadas empiricamente no contexto da escola pública brasileira. Pesquisas futuras poderão examinar, por meio de estudos de intervenção e de acompanhamento de turmas, os efeitos de práticas mediadas sobre o pensamento crítico dos estudantes, bem como as condições institucionais que favorecem ou dificultam sua implementação.</w:t>
      </w:r>
    </w:p>
    <w:p>
      <w:pPr>
        <w:pStyle w:val="titulo1"/>
        <w:keepNext/>
      </w:pPr>
      <w:r>
        <w:t xml:space="preserve">5. Considerações finais</w:t>
      </w:r>
    </w:p>
    <w:p>
      <w:pPr>
        <w:pStyle w:val="corpo"/>
      </w:pPr>
      <w:r>
        <w:t xml:space="preserve">Este artigo analisou as contribuições do ensino de Arte para o desenvolvimento do pensamento crítico de estudantes da escola pública, à luz da BNCC e em diálogo com a Psicologia. A análise permitiu sustentar que a Base oferece ao componente uma estrutura conceitual compatível com essa finalidade, expressa nas seis dimensões do conhecimento, e que essas dimensões mobilizam processos psicológicos como a percepção analítica, a interpretação, a argumentação, a imaginação, a elaboração simbólica das emoções e a autorregulação.</w:t>
      </w:r>
    </w:p>
    <w:p>
      <w:pPr>
        <w:pStyle w:val="corpo"/>
      </w:pPr>
      <w:r>
        <w:t xml:space="preserve">A contribuição da Psicologia mostrou-se decisiva em dois sentidos. Os estudos sobre o pensamento crítico evidenciam que ele não se desenvolve espontaneamente e requer ensino explícito; a psicologia histórico-cultural demonstra que a imaginação depende do repertório e que a experiência estética reorganiza a vida afetiva e intelectual quando mediada. Ambas convergem para a mesma conclusão: o desenho livre, quando tomado como fim em si, priva o estudante das condições necessárias para que a Arte cumpra sua função formativa.</w:t>
      </w:r>
    </w:p>
    <w:p>
      <w:pPr>
        <w:pStyle w:val="corpo"/>
      </w:pPr>
      <w:r>
        <w:t xml:space="preserve">A análise também evidenciou que a persistência dessa prática não decorre de escolhas individuais, mas de condições estruturais da rede pública, entre as quais se destacam a insuficiência de docentes com formação específica, a reduzida carga horária e a precariedade da infraestrutura. Por essa razão, a efetividade das prescrições da BNCC depende de políticas públicas que assegurem formação inicial e continuada em Arte, concursos específicos para as diferentes linguagens, carga horária compatível com projetos de continuidade e espaços e materiais adequados.</w:t>
      </w:r>
    </w:p>
    <w:p>
      <w:pPr>
        <w:pStyle w:val="corpo"/>
      </w:pPr>
      <w:r>
        <w:t xml:space="preserve">No âmbito da sala de aula, os princípios de intencionalidade explícita, ampliação do repertório, conversa interpretativa e avaliação processual indicam caminhos viáveis mesmo em contextos de recursos limitados. Ir além do desenho livre não significa abandonar a liberdade criadora, mas garantir que ela se exerça sobre um repertório ampliado e acompanhada de mediação qualificada. É nessa articulação entre liberdade e ensino que a Arte pode contribuir para formar sujeitos capazes de perceber, interpretar e julgar o mundo com sensibilidade e rigor, finalidade que a escola pública tem o dever de assegurar a todos os estudantes.</w:t>
      </w:r>
    </w:p>
    <w:p>
      <w:pPr>
        <w:pStyle w:val="titulo1"/>
        <w:keepNext/>
      </w:pPr>
      <w:r>
        <w:t xml:space="preserve">Declaração de conflito de interesses</w:t>
      </w:r>
    </w:p>
    <w:p>
      <w:pPr>
        <w:pStyle w:val="corpo"/>
      </w:pPr>
      <w:r>
        <w:t xml:space="preserve">A autora declara não haver conflitos de interesse relacionados à pesquisa, à autoria ou à publicação deste artigo.</w:t>
      </w:r>
    </w:p>
    <w:p>
      <w:pPr>
        <w:pStyle w:val="titulo1"/>
        <w:keepNext/>
      </w:pPr>
      <w:r>
        <w:t xml:space="preserve">Referências</w:t>
      </w:r>
    </w:p>
    <w:p>
      <w:pPr>
        <w:pStyle w:val="referencia"/>
      </w:pPr>
      <w:r>
        <w:t xml:space="preserve">ALMEIDA, Marilene Oliveira; BARROS, Gelka Arruda de; CAMPOS, Regina Helena de Freitas; ARAÚJO, Christiane Campos de; CAÑETE, Lilian Sipoli Carneiro. Sínteses da apropriação do conceito de educação estética de Vigotski no ensino de arte brasileiro (2006-2020). </w:t>
      </w:r>
      <w:r>
        <w:rPr>
          <w:b/>
          <w:bCs/>
        </w:rPr>
        <w:t xml:space="preserve">Pro-Posições</w:t>
      </w:r>
      <w:r>
        <w:t xml:space="preserve">, Campinas, v. 35, e2024c0104BR, 2024.</w:t>
      </w:r>
    </w:p>
    <w:p>
      <w:pPr>
        <w:pStyle w:val="referencia"/>
      </w:pPr>
      <w:r>
        <w:t xml:space="preserve">BARBOSA, Ana Mae; CUNHA, Fernanda Pereira da (org.). </w:t>
      </w:r>
      <w:r>
        <w:rPr>
          <w:b/>
          <w:bCs/>
        </w:rPr>
        <w:t xml:space="preserve">A abordagem triangular no ensino das artes e culturas visuais</w:t>
      </w:r>
      <w:r>
        <w:t xml:space="preserve">. São Paulo: Cortez, 2010.</w:t>
      </w:r>
    </w:p>
    <w:p>
      <w:pPr>
        <w:pStyle w:val="referencia"/>
      </w:pPr>
      <w:r>
        <w:t xml:space="preserve">BARDIN, Laurence. </w:t>
      </w:r>
      <w:r>
        <w:rPr>
          <w:b/>
          <w:bCs/>
        </w:rPr>
        <w:t xml:space="preserve">Análise de conteúdo</w:t>
      </w:r>
      <w:r>
        <w:t xml:space="preserve">. São Paulo: Edições 70, 2016.</w:t>
      </w:r>
    </w:p>
    <w:p>
      <w:pPr>
        <w:pStyle w:val="referencia"/>
      </w:pPr>
      <w:r>
        <w:t xml:space="preserve">BARROCO, Sonia Mari Shima; SUPERTI, Tatiane. Vigotski e o estudo da psicologia da arte: contribuições para o desenvolvimento humano. </w:t>
      </w:r>
      <w:r>
        <w:rPr>
          <w:b/>
          <w:bCs/>
        </w:rPr>
        <w:t xml:space="preserve">Psicologia &amp; Sociedade</w:t>
      </w:r>
      <w:r>
        <w:t xml:space="preserve">, Belo Horizonte, v. 26, n. 1, p. 22-31, 2014.</w:t>
      </w:r>
    </w:p>
    <w:p>
      <w:pPr>
        <w:pStyle w:val="referencia"/>
      </w:pPr>
      <w:r>
        <w:t xml:space="preserve">BOWEN, Daniel H.; KISIDA, Brian. Investigating the causal effects of arts education. </w:t>
      </w:r>
      <w:r>
        <w:rPr>
          <w:b/>
          <w:bCs/>
        </w:rPr>
        <w:t xml:space="preserve">Journal of Policy Analysis and Management</w:t>
      </w:r>
      <w:r>
        <w:t xml:space="preserve">, v. 43, n. 3, p. 624-647, 2024.</w:t>
      </w:r>
    </w:p>
    <w:p>
      <w:pPr>
        <w:pStyle w:val="referencia"/>
      </w:pPr>
      <w:r>
        <w:t xml:space="preserve">BRASIL. </w:t>
      </w:r>
      <w:r>
        <w:rPr>
          <w:b/>
          <w:bCs/>
        </w:rPr>
        <w:t xml:space="preserve">Lei nº 5.692, de 11 de agosto de 1971</w:t>
      </w:r>
      <w:r>
        <w:t xml:space="preserve">. Fixa diretrizes e bases para o ensino de 1º e 2º graus, e dá outras providências. Brasília, DF: Presidência da República, 1971.</w:t>
      </w:r>
    </w:p>
    <w:p>
      <w:pPr>
        <w:pStyle w:val="referencia"/>
      </w:pPr>
      <w:r>
        <w:t xml:space="preserve">BRASIL. </w:t>
      </w:r>
      <w:r>
        <w:rPr>
          <w:b/>
          <w:bCs/>
        </w:rPr>
        <w:t xml:space="preserve">Lei nº 9.394, de 20 de dezembro de 1996</w:t>
      </w:r>
      <w:r>
        <w:t xml:space="preserve">. Estabelece as diretrizes e bases da educação nacional. Brasília, DF: Presidência da República, 1996.</w:t>
      </w:r>
    </w:p>
    <w:p>
      <w:pPr>
        <w:pStyle w:val="referencia"/>
      </w:pPr>
      <w:r>
        <w:t xml:space="preserve">BRASIL. Secretaria de Educação Fundamental. </w:t>
      </w:r>
      <w:r>
        <w:rPr>
          <w:b/>
          <w:bCs/>
        </w:rPr>
        <w:t xml:space="preserve">Parâmetros curriculares nacionais</w:t>
      </w:r>
      <w:r>
        <w:t xml:space="preserve">: arte. Brasília, DF: MEC/SEF, 1997.</w:t>
      </w:r>
    </w:p>
    <w:p>
      <w:pPr>
        <w:pStyle w:val="referencia"/>
      </w:pPr>
      <w:r>
        <w:t xml:space="preserve">BRASIL. </w:t>
      </w:r>
      <w:r>
        <w:rPr>
          <w:b/>
          <w:bCs/>
        </w:rPr>
        <w:t xml:space="preserve">Lei nº 13.278, de 2 de maio de 2016</w:t>
      </w:r>
      <w:r>
        <w:t xml:space="preserve">. Altera o § 6º do art. 26 da Lei nº 9.394, de 20 de dezembro de 1996, que fixa as diretrizes e bases da educação nacional, referente ao ensino da arte. Brasília, DF: Presidência da República, 2016.</w:t>
      </w:r>
    </w:p>
    <w:p>
      <w:pPr>
        <w:pStyle w:val="referencia"/>
      </w:pPr>
      <w:r>
        <w:t xml:space="preserve">BRASIL. Ministério da Educação. </w:t>
      </w:r>
      <w:r>
        <w:rPr>
          <w:b/>
          <w:bCs/>
        </w:rPr>
        <w:t xml:space="preserve">Base Nacional Comum Curricular</w:t>
      </w:r>
      <w:r>
        <w:t xml:space="preserve">. Brasília, DF: MEC, 2018.</w:t>
      </w:r>
    </w:p>
    <w:p>
      <w:pPr>
        <w:pStyle w:val="referencia"/>
      </w:pPr>
      <w:r>
        <w:t xml:space="preserve">BRASIL. Instituto Nacional de Estudos e Pesquisas Educacionais Anísio Teixeira. </w:t>
      </w:r>
      <w:r>
        <w:rPr>
          <w:b/>
          <w:bCs/>
        </w:rPr>
        <w:t xml:space="preserve">Censo da Educação Básica 2022</w:t>
      </w:r>
      <w:r>
        <w:t xml:space="preserve">: notas estatísticas. Brasília, DF: Inep, 2023.</w:t>
      </w:r>
    </w:p>
    <w:p>
      <w:pPr>
        <w:pStyle w:val="referencia"/>
      </w:pPr>
      <w:r>
        <w:t xml:space="preserve">BRASIL. </w:t>
      </w:r>
      <w:r>
        <w:rPr>
          <w:b/>
          <w:bCs/>
        </w:rPr>
        <w:t xml:space="preserve">Lei nº 14.945, de 31 de julho de 2024</w:t>
      </w:r>
      <w:r>
        <w:t xml:space="preserve">. Altera a Lei nº 9.394, de 20 de dezembro de 1996 (Lei de Diretrizes e Bases da Educação Nacional), a fim de definir diretrizes para o ensino médio, e dá outras providências. Brasília, DF: Presidência da República, 2024.</w:t>
      </w:r>
    </w:p>
    <w:p>
      <w:pPr>
        <w:pStyle w:val="referencia"/>
      </w:pPr>
      <w:r>
        <w:t xml:space="preserve">EISNER, Elliot W. </w:t>
      </w:r>
      <w:r>
        <w:rPr>
          <w:b/>
          <w:bCs/>
        </w:rPr>
        <w:t xml:space="preserve">The arts and the creation of mind</w:t>
      </w:r>
      <w:r>
        <w:t xml:space="preserve">. New Haven: Yale University Press, 2002.</w:t>
      </w:r>
    </w:p>
    <w:p>
      <w:pPr>
        <w:pStyle w:val="referencia"/>
      </w:pPr>
      <w:r>
        <w:t xml:space="preserve">FACIONE, Peter A. </w:t>
      </w:r>
      <w:r>
        <w:rPr>
          <w:b/>
          <w:bCs/>
        </w:rPr>
        <w:t xml:space="preserve">Critical thinking</w:t>
      </w:r>
      <w:r>
        <w:t xml:space="preserve">: a statement of expert consensus for purposes of educational assessment and instruction. Millbrae: The California Academic Press, 1990.</w:t>
      </w:r>
    </w:p>
    <w:p>
      <w:pPr>
        <w:pStyle w:val="referencia"/>
      </w:pPr>
      <w:r>
        <w:t xml:space="preserve">FRANCO, Amanda; ALMEIDA, Leandro S.; SAIZ, Carlos. Pensamiento crítico: reflexión sobre su lugar en la enseñanza superior. </w:t>
      </w:r>
      <w:r>
        <w:rPr>
          <w:b/>
          <w:bCs/>
        </w:rPr>
        <w:t xml:space="preserve">Educatio Siglo XXI</w:t>
      </w:r>
      <w:r>
        <w:t xml:space="preserve">, Murcia, v. 32, n. 2, p. 81-96, 2014.</w:t>
      </w:r>
    </w:p>
    <w:p>
      <w:pPr>
        <w:pStyle w:val="referencia"/>
      </w:pPr>
      <w:r>
        <w:t xml:space="preserve">FREIRE, Paulo. </w:t>
      </w:r>
      <w:r>
        <w:rPr>
          <w:b/>
          <w:bCs/>
        </w:rPr>
        <w:t xml:space="preserve">Pedagogia da autonomia</w:t>
      </w:r>
      <w:r>
        <w:t xml:space="preserve">: saberes necessários à prática educativa. São Paulo: Paz e Terra, 1996.</w:t>
      </w:r>
    </w:p>
    <w:p>
      <w:pPr>
        <w:pStyle w:val="referencia"/>
      </w:pPr>
      <w:r>
        <w:t xml:space="preserve">GIL, Antonio Carlos. </w:t>
      </w:r>
      <w:r>
        <w:rPr>
          <w:b/>
          <w:bCs/>
        </w:rPr>
        <w:t xml:space="preserve">Como elaborar projetos de pesquisa</w:t>
      </w:r>
      <w:r>
        <w:t xml:space="preserve">. 6. ed. São Paulo: Atlas, 2017.</w:t>
      </w:r>
    </w:p>
    <w:p>
      <w:pPr>
        <w:pStyle w:val="referencia"/>
      </w:pPr>
      <w:r>
        <w:t xml:space="preserve">GREENE, Jay P.; KISIDA, Brian; BOWEN, Daniel H. The educational value of field trips. </w:t>
      </w:r>
      <w:r>
        <w:rPr>
          <w:b/>
          <w:bCs/>
        </w:rPr>
        <w:t xml:space="preserve">Education Next</w:t>
      </w:r>
      <w:r>
        <w:t xml:space="preserve">, Stanford, v. 14, n. 1, p. 78-86, 2014.</w:t>
      </w:r>
    </w:p>
    <w:p>
      <w:pPr>
        <w:pStyle w:val="referencia"/>
      </w:pPr>
      <w:r>
        <w:t xml:space="preserve">HALPERN, Diane F. </w:t>
      </w:r>
      <w:r>
        <w:rPr>
          <w:b/>
          <w:bCs/>
        </w:rPr>
        <w:t xml:space="preserve">Thought and knowledge</w:t>
      </w:r>
      <w:r>
        <w:t xml:space="preserve">: an introduction to critical thinking. 5. ed. New York: Psychology Press, 2014.</w:t>
      </w:r>
    </w:p>
    <w:p>
      <w:pPr>
        <w:pStyle w:val="referencia"/>
      </w:pPr>
      <w:r>
        <w:t xml:space="preserve">HETLAND, Lois; WINNER, Ellen; VEENEMA, Shirley; SHERIDAN, Kimberly M. </w:t>
      </w:r>
      <w:r>
        <w:rPr>
          <w:b/>
          <w:bCs/>
        </w:rPr>
        <w:t xml:space="preserve">Studio thinking 2</w:t>
      </w:r>
      <w:r>
        <w:t xml:space="preserve">: the real benefits of visual arts education. 2. ed. New York: Teachers College Press, 2013.</w:t>
      </w:r>
    </w:p>
    <w:p>
      <w:pPr>
        <w:pStyle w:val="referencia"/>
      </w:pPr>
      <w:r>
        <w:t xml:space="preserve">HOUSEN, Abigail C. Aesthetic thought, critical thinking and transfer. </w:t>
      </w:r>
      <w:r>
        <w:rPr>
          <w:b/>
          <w:bCs/>
        </w:rPr>
        <w:t xml:space="preserve">Arts and Learning Research Journal</w:t>
      </w:r>
      <w:r>
        <w:t xml:space="preserve">, v. 18, n. 1, p. 99-132, 2002.</w:t>
      </w:r>
    </w:p>
    <w:p>
      <w:pPr>
        <w:pStyle w:val="referencia"/>
      </w:pPr>
      <w:r>
        <w:t xml:space="preserve">IAVELBERG, Rosa. </w:t>
      </w:r>
      <w:r>
        <w:rPr>
          <w:b/>
          <w:bCs/>
        </w:rPr>
        <w:t xml:space="preserve">O desenho cultivado da criança</w:t>
      </w:r>
      <w:r>
        <w:t xml:space="preserve">: prática e formação de educadores. 2. ed. Porto Alegre: Zouk, 2013.</w:t>
      </w:r>
    </w:p>
    <w:p>
      <w:pPr>
        <w:pStyle w:val="referencia"/>
      </w:pPr>
      <w:r>
        <w:t xml:space="preserve">IAVELBERG, Rosa. A Base Nacional Curricular Comum e a formação dos professores de arte. </w:t>
      </w:r>
      <w:r>
        <w:rPr>
          <w:b/>
          <w:bCs/>
        </w:rPr>
        <w:t xml:space="preserve">Horizontes</w:t>
      </w:r>
      <w:r>
        <w:t xml:space="preserve">, v. 36, n. 1, p. 74-84, 2018.</w:t>
      </w:r>
    </w:p>
    <w:p>
      <w:pPr>
        <w:pStyle w:val="referencia"/>
      </w:pPr>
      <w:r>
        <w:t xml:space="preserve">MARTINS, Lígia Márcia. </w:t>
      </w:r>
      <w:r>
        <w:rPr>
          <w:b/>
          <w:bCs/>
        </w:rPr>
        <w:t xml:space="preserve">O desenvolvimento do psiquismo e a educação escolar</w:t>
      </w:r>
      <w:r>
        <w:t xml:space="preserve">: contribuições à luz da psicologia histórico-cultural e da pedagogia histórico-crítica. Campinas: Autores Associados, 2013.</w:t>
      </w:r>
    </w:p>
    <w:p>
      <w:pPr>
        <w:pStyle w:val="referencia"/>
      </w:pPr>
      <w:r>
        <w:t xml:space="preserve">VIGOTSKI, Lev Semenovitch. </w:t>
      </w:r>
      <w:r>
        <w:rPr>
          <w:b/>
          <w:bCs/>
        </w:rPr>
        <w:t xml:space="preserve">Psicologia da arte</w:t>
      </w:r>
      <w:r>
        <w:t xml:space="preserve">. São Paulo: Martins Fontes, 1999.</w:t>
      </w:r>
    </w:p>
    <w:p>
      <w:pPr>
        <w:pStyle w:val="referencia"/>
      </w:pPr>
      <w:r>
        <w:t xml:space="preserve">VIGOTSKI, Lev Semenovitch. </w:t>
      </w:r>
      <w:r>
        <w:rPr>
          <w:b/>
          <w:bCs/>
        </w:rPr>
        <w:t xml:space="preserve">Psicologia pedagógica</w:t>
      </w:r>
      <w:r>
        <w:t xml:space="preserve">. 2. ed. São Paulo: Martins Fontes, 2004.</w:t>
      </w:r>
    </w:p>
    <w:p>
      <w:pPr>
        <w:pStyle w:val="referencia"/>
      </w:pPr>
      <w:r>
        <w:t xml:space="preserve">VIGOTSKI, Lev Semenovitch. </w:t>
      </w:r>
      <w:r>
        <w:rPr>
          <w:b/>
          <w:bCs/>
        </w:rPr>
        <w:t xml:space="preserve">Imaginação e criação na infância</w:t>
      </w:r>
      <w:r>
        <w:t xml:space="preserve">: ensaio psicológico. São Paulo: Ática, 2009.</w:t>
      </w:r>
    </w:p>
    <w:p>
      <w:pPr>
        <w:pStyle w:val="referencia"/>
      </w:pPr>
      <w:r>
        <w:t xml:space="preserve">VINCENT-LANCRIN, Stéphan </w:t>
      </w:r>
      <w:r>
        <w:rPr>
          <w:i/>
          <w:iCs/>
        </w:rPr>
        <w:t xml:space="preserve">et al.</w:t>
      </w:r>
      <w:r>
        <w:t xml:space="preserve"> </w:t>
      </w:r>
      <w:r>
        <w:rPr>
          <w:b/>
          <w:bCs/>
        </w:rPr>
        <w:t xml:space="preserve">Fostering students’ creativity and critical thinking</w:t>
      </w:r>
      <w:r>
        <w:t xml:space="preserve">: what it means in school. Paris: OECD Publishing, 2019.</w:t>
      </w:r>
    </w:p>
    <w:p>
      <w:pPr>
        <w:pStyle w:val="referencia"/>
      </w:pPr>
      <w:r>
        <w:t xml:space="preserve">WEDEKIN, Luana Maribele; ZANELLA, Andréa Vieira. L. S. Vigotski e o ensino de arte: “A educação estética” (1926) e as escolas de arte na Rússia 1917-1930. </w:t>
      </w:r>
      <w:r>
        <w:rPr>
          <w:b/>
          <w:bCs/>
        </w:rPr>
        <w:t xml:space="preserve">Pro-Posições</w:t>
      </w:r>
      <w:r>
        <w:t xml:space="preserve">, Campinas, v. 27, n. 2, p. 155-176, 2016.</w:t>
      </w:r>
    </w:p>
    <w:p>
      <w:pPr>
        <w:pStyle w:val="referencia"/>
      </w:pPr>
      <w:r>
        <w:t xml:space="preserve">WINNER, Ellen; GOLDSTEIN, Thalia R.; VINCENT-LANCRIN, Stéphan. </w:t>
      </w:r>
      <w:r>
        <w:rPr>
          <w:b/>
          <w:bCs/>
        </w:rPr>
        <w:t xml:space="preserve">Art for art’s sake?</w:t>
      </w:r>
      <w:r>
        <w:t xml:space="preserve"> The impact of arts education. Paris: OECD Publishing, 2013.</w:t>
      </w:r>
    </w:p>
    <w:sectPr>
      <w:headerReference w:type="default" r:id="rId7"/>
      <w:headerReference w:type="first" r:id="rId8"/>
      <w:headerReference w:type="even" r:id="rId9"/>
      <w:footerReference w:type="default" r:id="rId10"/>
      <w:footerReference w:type="first" r:id="rId11"/>
      <w:footerReference w:type="even" r:id="rId12"/>
      <w:pgSz w:w="11906" w:h="16838" w:orient="portrait"/>
      <w:pgMar w:top="1701" w:right="1134" w:bottom="1134" w:left="1701" w:header="680" w:footer="68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lain"/>
      <w:pBdr>
        <w:top w:val="single" w:color="D9D9D9" w:sz="6" w:space="4"/>
      </w:pBdr>
      <w:spacing w:line="240"/>
    </w:pPr>
    <w:r>
      <w:rPr>
        <w:color w:val="595959"/>
        <w:sz w:val="16"/>
        <w:szCs w:val="16"/>
      </w:rPr>
      <w:t xml:space="preserve">Revista Científica Se Prepare Bem</w:t>
    </w:r>
    <w:r>
      <w:ptab w:alignment="right" w:relativeTo="margin" w:leader="none"/>
    </w:r>
    <w:r>
      <w:rPr>
        <w:b/>
        <w:bCs/>
        <w:color w:val="3D0856"/>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lain"/>
      <w:pBdr>
        <w:top w:val="single" w:color="D9D9D9" w:sz="6" w:space="4"/>
      </w:pBdr>
      <w:spacing w:line="240"/>
    </w:pPr>
    <w:r>
      <w:rPr>
        <w:color w:val="595959"/>
        <w:sz w:val="16"/>
        <w:szCs w:val="16"/>
      </w:rPr>
      <w:t xml:space="preserve">Revista Científica Se Prepare Bem</w:t>
    </w:r>
    <w:r>
      <w:ptab w:alignment="right" w:relativeTo="margin" w:leader="none"/>
    </w:r>
    <w:r>
      <w:rPr>
        <w:b/>
        <w:bCs/>
        <w:color w:val="3D0856"/>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lain"/>
      <w:pBdr>
        <w:top w:val="single" w:color="D9D9D9" w:sz="6" w:space="4"/>
      </w:pBdr>
      <w:spacing w:line="240"/>
    </w:pPr>
    <w:r>
      <w:rPr>
        <w:color w:val="595959"/>
        <w:sz w:val="16"/>
        <w:szCs w:val="16"/>
      </w:rPr>
      <w:t xml:space="preserve">Revista Científica Se Prepare Bem</w:t>
    </w:r>
    <w:r>
      <w:ptab w:alignment="right" w:relativeTo="margin" w:leader="none"/>
    </w:r>
    <w:r>
      <w:rPr>
        <w:b/>
        <w:bCs/>
        <w:color w:val="3D085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plain"/>
      <w:pBdr>
        <w:bottom w:val="single" w:color="FFBC00" w:sz="8" w:space="3"/>
      </w:pBdr>
      <w:spacing w:line="240"/>
    </w:pPr>
    <w:r>
      <w:rPr>
        <w:b/>
        <w:bCs/>
        <w:color w:val="3D0856"/>
        <w:sz w:val="16"/>
        <w:szCs w:val="16"/>
      </w:rPr>
      <w:t xml:space="preserve">Revista Científica Se Prepare Bem</w:t>
    </w:r>
    <w:r>
      <w:rPr>
        <w:color w:val="595959"/>
        <w:sz w:val="16"/>
        <w:szCs w:val="16"/>
      </w:rPr>
      <w:t xml:space="preserve">  |  Educação, Gestão e Políticas Educacionais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5386"/>
      <w:gridCol w:w="3685"/>
    </w:tblGrid>
    <w:tr>
      <w:tc>
        <w:tcPr>
          <w:tcW w:type="dxa" w:w="5386"/>
          <w:shd w:fill="3D0856" w:color="auto" w:val="clear"/>
          <w:tcMar>
            <w:top w:type="dxa" w:w="160"/>
            <w:left w:type="dxa" w:w="200"/>
            <w:bottom w:type="dxa" w:w="160"/>
            <w:right w:type="dxa" w:w="110"/>
          </w:tcMar>
          <w:vAlign w:val="center"/>
        </w:tcPr>
        <w:p>
          <w:pPr>
            <w:pStyle w:val="plain"/>
            <w:spacing w:after="0" w:line="240"/>
          </w:pPr>
          <w:r>
            <w:rPr>
              <w:b/>
              <w:bCs/>
              <w:color w:val="FFFFFF"/>
              <w:sz w:val="22"/>
              <w:szCs w:val="22"/>
            </w:rPr>
            <w:t xml:space="preserve">REVISTA CIENTÍFICA</w:t>
          </w:r>
        </w:p>
        <w:p>
          <w:pPr>
            <w:pStyle w:val="plain"/>
            <w:spacing w:after="0" w:line="260"/>
          </w:pPr>
          <w:r>
            <w:rPr>
              <w:b/>
              <w:bCs/>
              <w:color w:val="FFBC00"/>
              <w:sz w:val="30"/>
              <w:szCs w:val="30"/>
            </w:rPr>
            <w:t xml:space="preserve">SE PREPARE BEM</w:t>
          </w:r>
        </w:p>
        <w:p>
          <w:pPr>
            <w:pStyle w:val="plain"/>
            <w:spacing w:after="0" w:line="240"/>
          </w:pPr>
          <w:r>
            <w:rPr>
              <w:color w:val="FFFFFF"/>
              <w:sz w:val="16"/>
              <w:szCs w:val="16"/>
            </w:rPr>
            <w:t xml:space="preserve">Educação, Gestão e Políticas Educacionais</w:t>
          </w:r>
        </w:p>
      </w:tc>
      <w:tc>
        <w:tcPr>
          <w:tcW w:type="dxa" w:w="3685"/>
          <w:tcMar>
            <w:top w:type="dxa" w:w="80"/>
            <w:left w:type="dxa" w:w="110"/>
            <w:bottom w:type="dxa" w:w="80"/>
            <w:right w:type="dxa" w:w="110"/>
          </w:tcMar>
          <w:vAlign w:val="bottom"/>
        </w:tcPr>
        <w:p>
          <w:pPr>
            <w:pStyle w:val="plain"/>
            <w:spacing w:line="240"/>
            <w:jc w:val="right"/>
          </w:pPr>
        </w:p>
      </w:tc>
    </w:tr>
  </w:tbl>
  <w:p>
    <w:pPr>
      <w:pStyle w:val="plain"/>
      <w:pBdr>
        <w:bottom w:val="single" w:color="FFBC00" w:sz="12" w:space="4"/>
      </w:pBdr>
      <w:spacing w:before="80" w:line="240"/>
    </w:pPr>
    <w:r>
      <w:rPr>
        <w:color w:val="595959"/>
        <w:sz w:val="16"/>
        <w:szCs w:val="16"/>
      </w:rPr>
      <w:t xml:space="preserve">Vol. I, n. 2, 2026</w:t>
    </w:r>
    <w:r>
      <w:ptab w:alignment="right" w:relativeTo="margin" w:leader="none"/>
    </w:r>
    <w:r>
      <w:rPr>
        <w:b/>
        <w:bCs/>
        <w:color w:val="3D0856"/>
        <w:sz w:val="16"/>
        <w:szCs w:val="16"/>
      </w:rPr>
      <w:t xml:space="preserve">ARTIGO ORIGINAL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plain"/>
      <w:pBdr>
        <w:bottom w:val="single" w:color="FFBC00" w:sz="8" w:space="3"/>
      </w:pBdr>
      <w:spacing w:line="240"/>
    </w:pPr>
    <w:r>
      <w:rPr>
        <w:b/>
        <w:bCs/>
        <w:color w:val="3D0856"/>
        <w:sz w:val="16"/>
        <w:szCs w:val="16"/>
      </w:rPr>
      <w:t xml:space="preserve">Revista Científica Se Prepare Bem</w:t>
    </w:r>
    <w:r>
      <w:rPr>
        <w:color w:val="595959"/>
        <w:sz w:val="16"/>
        <w:szCs w:val="16"/>
      </w:rPr>
      <w:t xml:space="preserve">  |  Educação, Gestão e Políticas Educacionais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4"/>
        <w:szCs w:val="24"/>
      </w:rPr>
    </w:rPrDefault>
    <w:pPrDefault>
      <w:pPr>
        <w:spacing w:after="0"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lain">
    <w:name w:val="Plain"/>
    <w:basedOn w:val="Normal"/>
    <w:qFormat/>
    <w:pPr>
      <w:spacing w:after="0" w:line="240"/>
      <w:ind w:firstLine="0"/>
    </w:pPr>
    <w:rPr>
      <w:rFonts w:ascii="Arial" w:cs="Arial" w:eastAsia="Arial" w:hAnsi="Arial"/>
    </w:rPr>
  </w:style>
  <w:style w:type="paragraph" w:styleId="corpo">
    <w:name w:val="Corpo do texto"/>
    <w:basedOn w:val="Normal"/>
    <w:qFormat/>
    <w:pPr>
      <w:spacing w:after="0" w:line="360"/>
      <w:ind w:firstLine="709"/>
      <w:jc w:val="both"/>
    </w:pPr>
    <w:rPr>
      <w:rFonts w:ascii="Arial" w:cs="Arial" w:eastAsia="Arial" w:hAnsi="Arial"/>
      <w:sz w:val="24"/>
      <w:szCs w:val="24"/>
    </w:rPr>
  </w:style>
  <w:style w:type="paragraph" w:styleId="corposemrecuo">
    <w:name w:val="Corpo sem recuo"/>
    <w:basedOn w:val="Normal"/>
    <w:qFormat/>
    <w:pPr>
      <w:spacing w:after="0" w:line="360"/>
      <w:ind w:firstLine="0"/>
      <w:jc w:val="both"/>
    </w:pPr>
    <w:rPr>
      <w:rFonts w:ascii="Arial" w:cs="Arial" w:eastAsia="Arial" w:hAnsi="Arial"/>
      <w:sz w:val="24"/>
      <w:szCs w:val="24"/>
    </w:rPr>
  </w:style>
  <w:style w:type="paragraph" w:styleId="titulo1">
    <w:name w:val="Titulo 1"/>
    <w:basedOn w:val="Normal"/>
    <w:next w:val="corpo"/>
    <w:qFormat/>
    <w:pPr>
      <w:spacing w:after="240" w:before="360" w:line="360"/>
      <w:ind w:firstLine="0"/>
      <w:jc w:val="left"/>
      <w:outlineLvl w:val="0"/>
    </w:pPr>
    <w:rPr>
      <w:rFonts w:ascii="Arial" w:cs="Arial" w:eastAsia="Arial" w:hAnsi="Arial"/>
      <w:b/>
      <w:bCs/>
      <w:caps/>
      <w:color w:val="3D0856"/>
      <w:sz w:val="24"/>
      <w:szCs w:val="24"/>
    </w:rPr>
  </w:style>
  <w:style w:type="paragraph" w:styleId="titulo2">
    <w:name w:val="Titulo 2"/>
    <w:basedOn w:val="Normal"/>
    <w:next w:val="corpo"/>
    <w:qFormat/>
    <w:pPr>
      <w:spacing w:after="200" w:before="300" w:line="360"/>
      <w:ind w:firstLine="0"/>
      <w:jc w:val="left"/>
      <w:outlineLvl w:val="1"/>
    </w:pPr>
    <w:rPr>
      <w:rFonts w:ascii="Arial" w:cs="Arial" w:eastAsia="Arial" w:hAnsi="Arial"/>
      <w:color w:val="3D0856"/>
      <w:sz w:val="24"/>
      <w:szCs w:val="24"/>
    </w:rPr>
  </w:style>
  <w:style w:type="paragraph" w:styleId="titulo3">
    <w:name w:val="Titulo 3"/>
    <w:basedOn w:val="Normal"/>
    <w:next w:val="corpo"/>
    <w:qFormat/>
    <w:pPr>
      <w:spacing w:after="160" w:before="240" w:line="360"/>
      <w:ind w:firstLine="0"/>
      <w:jc w:val="left"/>
      <w:outlineLvl w:val="2"/>
    </w:pPr>
    <w:rPr>
      <w:rFonts w:ascii="Arial" w:cs="Arial" w:eastAsia="Arial" w:hAnsi="Arial"/>
      <w:b/>
      <w:bCs/>
      <w:sz w:val="24"/>
      <w:szCs w:val="24"/>
    </w:rPr>
  </w:style>
  <w:style w:type="paragraph" w:styleId="citacao">
    <w:name w:val="Citacao longa"/>
    <w:basedOn w:val="Normal"/>
    <w:next w:val="corpo"/>
    <w:qFormat/>
    <w:pPr>
      <w:spacing w:after="240" w:before="240" w:line="240"/>
      <w:ind w:left="2268" w:firstLine="0"/>
      <w:jc w:val="both"/>
    </w:pPr>
    <w:rPr>
      <w:rFonts w:ascii="Arial" w:cs="Arial" w:eastAsia="Arial" w:hAnsi="Arial"/>
      <w:sz w:val="20"/>
      <w:szCs w:val="20"/>
    </w:rPr>
  </w:style>
  <w:style w:type="paragraph" w:styleId="legenda">
    <w:name w:val="Legenda"/>
    <w:basedOn w:val="Normal"/>
    <w:next w:val="corpo"/>
    <w:qFormat/>
    <w:pPr>
      <w:spacing w:after="120" w:before="120" w:line="240"/>
      <w:ind w:firstLine="0"/>
      <w:jc w:val="center"/>
    </w:pPr>
    <w:rPr>
      <w:rFonts w:ascii="Arial" w:cs="Arial" w:eastAsia="Arial" w:hAnsi="Arial"/>
      <w:sz w:val="20"/>
      <w:szCs w:val="20"/>
    </w:rPr>
  </w:style>
  <w:style w:type="paragraph" w:styleId="referencia">
    <w:name w:val="Referencia"/>
    <w:basedOn w:val="Normal"/>
    <w:next w:val="referencia"/>
    <w:qFormat/>
    <w:pPr>
      <w:spacing w:after="240" w:line="240"/>
      <w:ind w:firstLine="0"/>
      <w:jc w:val="left"/>
    </w:pPr>
    <w:rPr>
      <w:rFonts w:ascii="Arial" w:cs="Arial" w:eastAsia="Arial" w:hAnsi="Arial"/>
      <w:sz w:val="24"/>
      <w:szCs w:val="24"/>
    </w:rPr>
  </w:style>
  <w:style w:type="paragraph" w:styleId="tabcab">
    <w:name w:val="Tabela cabecalho"/>
    <w:basedOn w:val="Normal"/>
    <w:qFormat/>
    <w:pPr>
      <w:spacing w:after="0" w:line="240"/>
      <w:ind w:firstLine="0"/>
      <w:jc w:val="center"/>
    </w:pPr>
    <w:rPr>
      <w:rFonts w:ascii="Arial" w:cs="Arial" w:eastAsia="Arial" w:hAnsi="Arial"/>
      <w:b/>
      <w:bCs/>
      <w:color w:val="FFFFFF"/>
      <w:sz w:val="20"/>
      <w:szCs w:val="20"/>
    </w:rPr>
  </w:style>
  <w:style w:type="paragraph" w:styleId="tabtxt">
    <w:name w:val="Tabela texto"/>
    <w:basedOn w:val="Normal"/>
    <w:qFormat/>
    <w:pPr>
      <w:spacing w:after="0" w:line="240"/>
      <w:ind w:firstLine="0"/>
      <w:jc w:val="left"/>
    </w:pPr>
    <w:rPr>
      <w:rFonts w:ascii="Arial" w:cs="Arial" w:eastAsia="Arial" w:hAnsi="Arial"/>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 além do desenho livre</dc:title>
  <dc:creator>Alessandra Raquel Lopes Rodrigues Borges</dc:creator>
  <dc:description>Modelo de submissão de artigos – Educação, Gestão e Políticas Educacionais</dc:description>
  <cp:lastModifiedBy/>
  <cp:revision>1</cp:revision>
  <dcterms:created xsi:type="dcterms:W3CDTF">2026-09-18T11:41:50.580Z</dcterms:created>
  <dcterms:modified xsi:type="dcterms:W3CDTF">2026-09-18T11:41:50.587Z</dcterms:modified>
</cp:coreProperties>
</file>

<file path=docProps/custom.xml><?xml version="1.0" encoding="utf-8"?>
<Properties xmlns="http://schemas.openxmlformats.org/officeDocument/2006/custom-properties" xmlns:vt="http://schemas.openxmlformats.org/officeDocument/2006/docPropsVTypes"/>
</file>